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5028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110CBC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D64499">
        <w:rPr>
          <w:bCs/>
          <w:lang w:val="sr-Cyrl-RS"/>
        </w:rPr>
        <w:t>22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 xml:space="preserve">Дана: </w:t>
      </w:r>
      <w:r w:rsidR="002568C4">
        <w:rPr>
          <w:bCs/>
        </w:rPr>
        <w:t>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D64499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D64499">
        <w:rPr>
          <w:b/>
          <w:lang w:val="sr-Cyrl-CS"/>
        </w:rPr>
        <w:t xml:space="preserve">Набавка </w:t>
      </w:r>
      <w:r w:rsidRPr="00D64499">
        <w:rPr>
          <w:b/>
          <w:lang w:val="sr-Cyrl-RS"/>
        </w:rPr>
        <w:t>реагенаса за апарат РОТЕМ, за потребе</w:t>
      </w:r>
      <w:r w:rsidRPr="00D64499">
        <w:rPr>
          <w:b/>
          <w:lang w:val="sr-Cyrl-CS"/>
        </w:rPr>
        <w:t xml:space="preserve">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  <w:rPr>
          <w:lang w:val="sr-Cyrl-RS"/>
        </w:rPr>
      </w:pPr>
    </w:p>
    <w:p w:rsidR="00D64499" w:rsidRPr="00D64499" w:rsidRDefault="00D64499" w:rsidP="00796D00">
      <w:pPr>
        <w:autoSpaceDE w:val="0"/>
        <w:autoSpaceDN w:val="0"/>
        <w:adjustRightInd w:val="0"/>
        <w:jc w:val="both"/>
        <w:rPr>
          <w:lang w:val="sr-Cyrl-R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lastRenderedPageBreak/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D64499">
        <w:rPr>
          <w:b/>
          <w:lang w:val="sr-Cyrl-RS"/>
        </w:rPr>
        <w:t>22</w:t>
      </w:r>
      <w:r w:rsidRPr="00520A83">
        <w:rPr>
          <w:b/>
        </w:rPr>
        <w:t>-1</w:t>
      </w:r>
      <w:r w:rsidR="001D009C">
        <w:rPr>
          <w:b/>
        </w:rPr>
        <w:t>4</w:t>
      </w:r>
      <w:r w:rsidRPr="00520A83">
        <w:rPr>
          <w:b/>
        </w:rPr>
        <w:t>-О -</w:t>
      </w:r>
      <w:r w:rsidR="009B0B85" w:rsidRPr="009B0B85">
        <w:t xml:space="preserve"> </w:t>
      </w:r>
      <w:r w:rsidR="009B0B85" w:rsidRPr="009B0B85">
        <w:rPr>
          <w:b/>
        </w:rPr>
        <w:t>Набавка реагенаса за апарат РОТЕМ, за потребе Клиничког центра Војводине</w:t>
      </w:r>
      <w:r w:rsidR="009B0B85">
        <w:rPr>
          <w:b/>
          <w:lang w:val="sr-Cyrl-RS"/>
        </w:rPr>
        <w:t>-</w:t>
      </w:r>
      <w:r w:rsidRPr="00520A83">
        <w:rPr>
          <w:b/>
        </w:rPr>
        <w:t xml:space="preserve">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9B0B85">
        <w:rPr>
          <w:b/>
          <w:lang w:val="sr-Cyrl-RS"/>
        </w:rPr>
        <w:t xml:space="preserve"> 27</w:t>
      </w:r>
      <w:r w:rsidRPr="00520A83">
        <w:rPr>
          <w:b/>
        </w:rPr>
        <w:t>.</w:t>
      </w:r>
      <w:r w:rsidR="00207FFA">
        <w:rPr>
          <w:b/>
        </w:rPr>
        <w:t>0</w:t>
      </w:r>
      <w:r w:rsidR="001D009C">
        <w:rPr>
          <w:b/>
        </w:rPr>
        <w:t>2</w:t>
      </w:r>
      <w:r w:rsidRPr="00520A83">
        <w:rPr>
          <w:b/>
        </w:rPr>
        <w:t>.201</w:t>
      </w:r>
      <w:r w:rsidR="00207FFA"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>, дана</w:t>
      </w:r>
      <w:r w:rsidR="009B0B85">
        <w:rPr>
          <w:b/>
          <w:lang w:val="sr-Cyrl-RS"/>
        </w:rPr>
        <w:t xml:space="preserve"> 27</w:t>
      </w:r>
      <w:r w:rsidRPr="00520A83">
        <w:rPr>
          <w:b/>
        </w:rPr>
        <w:t>.</w:t>
      </w:r>
      <w:r w:rsidR="00207FFA">
        <w:rPr>
          <w:b/>
        </w:rPr>
        <w:t>0</w:t>
      </w:r>
      <w:r w:rsidR="001D009C">
        <w:rPr>
          <w:b/>
        </w:rPr>
        <w:t>2</w:t>
      </w:r>
      <w:r w:rsidRPr="00520A83">
        <w:rPr>
          <w:b/>
        </w:rPr>
        <w:t>.201</w:t>
      </w:r>
      <w:r w:rsidR="00207FFA">
        <w:rPr>
          <w:b/>
        </w:rPr>
        <w:t>4</w:t>
      </w:r>
      <w:r w:rsidRPr="000765F0">
        <w:t xml:space="preserve">. године у </w:t>
      </w:r>
      <w:r w:rsidR="009B0B85">
        <w:rPr>
          <w:b/>
        </w:rPr>
        <w:t>1</w:t>
      </w:r>
      <w:r w:rsidR="009B0B85">
        <w:rPr>
          <w:b/>
          <w:lang w:val="sr-Cyrl-RS"/>
        </w:rPr>
        <w:t>1,45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 w:rsidRPr="000765F0">
        <w:t>ецц. , тел.: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 w:rsidR="00110CBC">
        <w:rPr>
          <w:lang w:val="hr-HR"/>
        </w:rPr>
        <w:t>тер правник, тел.: 021/487-22-</w:t>
      </w:r>
      <w:r w:rsidR="00110CBC">
        <w:rPr>
          <w:lang w:val="sr-Cyrl-RS"/>
        </w:rPr>
        <w:t>11</w:t>
      </w:r>
      <w:bookmarkStart w:id="0" w:name="_GoBack"/>
      <w:bookmarkEnd w:id="0"/>
      <w:r w:rsidRPr="000765F0">
        <w:rPr>
          <w:lang w:val="hr-HR"/>
        </w:rPr>
        <w:t>.</w:t>
      </w:r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10CBC"/>
    <w:rsid w:val="001562F7"/>
    <w:rsid w:val="001B166D"/>
    <w:rsid w:val="001D009C"/>
    <w:rsid w:val="001E5C4E"/>
    <w:rsid w:val="00207FFA"/>
    <w:rsid w:val="00235C55"/>
    <w:rsid w:val="002568C4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363"/>
    <w:rsid w:val="00975F5A"/>
    <w:rsid w:val="00977CA5"/>
    <w:rsid w:val="00986227"/>
    <w:rsid w:val="009B0B85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64499"/>
    <w:rsid w:val="00DA3432"/>
    <w:rsid w:val="00E04815"/>
    <w:rsid w:val="00E069B2"/>
    <w:rsid w:val="00E635FA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11</cp:revision>
  <cp:lastPrinted>2013-07-25T07:41:00Z</cp:lastPrinted>
  <dcterms:created xsi:type="dcterms:W3CDTF">2013-12-25T12:00:00Z</dcterms:created>
  <dcterms:modified xsi:type="dcterms:W3CDTF">2014-01-27T09:50:00Z</dcterms:modified>
</cp:coreProperties>
</file>