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D748E3" w:rsidP="009B4791">
      <w:pPr>
        <w:jc w:val="center"/>
      </w:pPr>
    </w:p>
    <w:p w:rsidR="00986789" w:rsidRPr="003353B6" w:rsidRDefault="00C95FDA" w:rsidP="003353B6">
      <w:pPr>
        <w:pStyle w:val="Heading1"/>
        <w:jc w:val="center"/>
      </w:pPr>
      <w:r>
        <w:t>ИЗМЕНА КОНКУРСНЕ ДОКУМЕНТАЦИЈЕ</w:t>
      </w:r>
      <w:r w:rsidR="003353B6">
        <w:t xml:space="preserve"> (1)</w:t>
      </w:r>
    </w:p>
    <w:p w:rsidR="00C95FDA" w:rsidRPr="002341EE" w:rsidRDefault="00C95FDA" w:rsidP="00C95FD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5492D" w:rsidRPr="00C5492D" w:rsidRDefault="00C5492D" w:rsidP="00C5492D">
      <w:pPr>
        <w:pStyle w:val="Heading1"/>
        <w:rPr>
          <w:b w:val="0"/>
        </w:rPr>
      </w:pPr>
      <w:bookmarkStart w:id="0" w:name="_Toc375826007"/>
      <w:r>
        <w:rPr>
          <w:color w:val="222222"/>
          <w:lang w:val="sr-Cyrl-RS"/>
        </w:rPr>
        <w:t>На страни 9</w:t>
      </w:r>
      <w:r w:rsidR="00417690" w:rsidRPr="00417690">
        <w:rPr>
          <w:color w:val="222222"/>
          <w:lang w:val="sr-Cyrl-RS"/>
        </w:rPr>
        <w:t>/3</w:t>
      </w:r>
      <w:r>
        <w:rPr>
          <w:color w:val="222222"/>
          <w:lang w:val="sr-Cyrl-RS"/>
        </w:rPr>
        <w:t>2</w:t>
      </w:r>
      <w:r w:rsidR="00417690" w:rsidRPr="00417690">
        <w:rPr>
          <w:color w:val="222222"/>
          <w:lang w:val="sr-Cyrl-RS"/>
        </w:rPr>
        <w:t xml:space="preserve"> у </w:t>
      </w:r>
      <w:r>
        <w:rPr>
          <w:color w:val="222222"/>
          <w:lang w:val="sr-Cyrl-RS"/>
        </w:rPr>
        <w:t xml:space="preserve">поглављу 4. </w:t>
      </w:r>
      <w:r w:rsidR="00417690" w:rsidRPr="00417690">
        <w:rPr>
          <w:color w:val="222222"/>
          <w:lang w:val="sr-Cyrl-RS"/>
        </w:rPr>
        <w:t xml:space="preserve"> </w:t>
      </w:r>
      <w:bookmarkStart w:id="1" w:name="_Toc389030813"/>
      <w:bookmarkStart w:id="2" w:name="_Toc389030878"/>
      <w:bookmarkStart w:id="3" w:name="_Toc375826006"/>
      <w:r w:rsidRPr="00C5492D">
        <w:t>УСЛОВИ ЗА УЧЕШЋЕ У ПОСТУПКУ ЈАВНЕ НАБАВКЕ</w:t>
      </w:r>
      <w:bookmarkEnd w:id="1"/>
      <w:bookmarkEnd w:id="2"/>
      <w:r w:rsidRPr="00C5492D">
        <w:t xml:space="preserve"> ИЗ ЧЛ. 75. И 76. ЗАКОНА И УПУТСТВО КАКО СЕ ДОКАЗУЈЕ ИСПУЊЕНОСТ ТИХ УСЛОВА</w:t>
      </w:r>
      <w:bookmarkEnd w:id="3"/>
    </w:p>
    <w:bookmarkEnd w:id="0"/>
    <w:p w:rsidR="00417690" w:rsidRDefault="00417690" w:rsidP="00417690">
      <w:pPr>
        <w:rPr>
          <w:lang w:val="sr-Cyrl-RS"/>
        </w:rPr>
      </w:pPr>
    </w:p>
    <w:p w:rsidR="00417690" w:rsidRDefault="00417690" w:rsidP="00417690">
      <w:pPr>
        <w:rPr>
          <w:lang w:val="sr-Cyrl-RS"/>
        </w:rPr>
      </w:pPr>
      <w:r>
        <w:rPr>
          <w:lang w:val="sr-Cyrl-RS"/>
        </w:rPr>
        <w:t>Стоји:</w:t>
      </w:r>
    </w:p>
    <w:tbl>
      <w:tblPr>
        <w:tblW w:w="9512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797"/>
        <w:gridCol w:w="5914"/>
      </w:tblGrid>
      <w:tr w:rsidR="00C5492D" w:rsidRPr="005C0B32" w:rsidTr="00D348B4">
        <w:trPr>
          <w:trHeight w:val="848"/>
        </w:trPr>
        <w:tc>
          <w:tcPr>
            <w:tcW w:w="801" w:type="dxa"/>
            <w:vAlign w:val="center"/>
          </w:tcPr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  <w:r w:rsidRPr="00AE1407">
              <w:rPr>
                <w:noProof/>
              </w:rPr>
              <w:t>6.</w:t>
            </w: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</w:tc>
        <w:tc>
          <w:tcPr>
            <w:tcW w:w="2797" w:type="dxa"/>
          </w:tcPr>
          <w:p w:rsidR="00C5492D" w:rsidRPr="00AE1407" w:rsidRDefault="00C5492D" w:rsidP="00D348B4">
            <w:pPr>
              <w:rPr>
                <w:noProof/>
              </w:rPr>
            </w:pPr>
            <w:r w:rsidRPr="005C0B32">
              <w:rPr>
                <w:noProof/>
              </w:rPr>
              <w:t>Да понуђач располаже неопходним финан</w:t>
            </w:r>
            <w:r>
              <w:rPr>
                <w:noProof/>
              </w:rPr>
              <w:t>сијским и пословним капацитетом</w:t>
            </w:r>
            <w:r>
              <w:rPr>
                <w:noProof/>
                <w:lang w:val="sr-Cyrl-RS"/>
              </w:rPr>
              <w:t>,</w:t>
            </w:r>
            <w:r w:rsidRPr="005C0B32">
              <w:rPr>
                <w:noProof/>
              </w:rPr>
              <w:t xml:space="preserve"> тј. да нема ни један дан неликвидности у периоду од </w:t>
            </w:r>
            <w:r>
              <w:rPr>
                <w:noProof/>
                <w:lang w:val="sr-Cyrl-RS"/>
              </w:rPr>
              <w:t xml:space="preserve">дванаест (12) </w:t>
            </w:r>
            <w:r w:rsidRPr="005C0B32">
              <w:rPr>
                <w:noProof/>
              </w:rPr>
              <w:t xml:space="preserve">месеци пре објављивања позива, односно од дана </w:t>
            </w:r>
            <w:r>
              <w:rPr>
                <w:noProof/>
              </w:rPr>
              <w:t xml:space="preserve">07.11.2013. </w:t>
            </w:r>
            <w:r>
              <w:rPr>
                <w:noProof/>
                <w:lang w:val="sr-Cyrl-RS"/>
              </w:rPr>
              <w:t>до 07.11.2014.</w:t>
            </w:r>
            <w:r w:rsidRPr="005C0B32">
              <w:rPr>
                <w:noProof/>
              </w:rPr>
              <w:t xml:space="preserve"> године</w:t>
            </w:r>
            <w:r>
              <w:rPr>
                <w:noProof/>
              </w:rPr>
              <w:t>,</w:t>
            </w:r>
            <w:r w:rsidRPr="005C0B32">
              <w:rPr>
                <w:noProof/>
              </w:rPr>
              <w:t xml:space="preserve"> и да је остварио </w:t>
            </w:r>
            <w:r w:rsidRPr="0095481E">
              <w:rPr>
                <w:noProof/>
              </w:rPr>
              <w:t xml:space="preserve">најмање </w:t>
            </w:r>
            <w:r w:rsidRPr="0095481E">
              <w:rPr>
                <w:noProof/>
                <w:lang w:val="sr-Cyrl-RS"/>
              </w:rPr>
              <w:t>50</w:t>
            </w:r>
            <w:r w:rsidRPr="0095481E">
              <w:rPr>
                <w:noProof/>
              </w:rPr>
              <w:t>.000.000,00 дин.</w:t>
            </w:r>
            <w:r w:rsidRPr="00340503">
              <w:rPr>
                <w:noProof/>
              </w:rPr>
              <w:t xml:space="preserve"> прихода у </w:t>
            </w:r>
            <w:r>
              <w:rPr>
                <w:noProof/>
                <w:lang w:val="sr-Cyrl-RS"/>
              </w:rPr>
              <w:t xml:space="preserve">свакој од </w:t>
            </w:r>
            <w:r w:rsidRPr="00340503">
              <w:rPr>
                <w:noProof/>
              </w:rPr>
              <w:t xml:space="preserve">последње </w:t>
            </w:r>
            <w:r w:rsidRPr="00340503">
              <w:rPr>
                <w:noProof/>
                <w:lang w:val="sr-Cyrl-RS"/>
              </w:rPr>
              <w:t>три</w:t>
            </w:r>
            <w:r w:rsidRPr="00340503">
              <w:rPr>
                <w:noProof/>
              </w:rPr>
              <w:t xml:space="preserve"> </w:t>
            </w:r>
            <w:r w:rsidRPr="005C3638">
              <w:rPr>
                <w:noProof/>
              </w:rPr>
              <w:t>године.</w:t>
            </w:r>
          </w:p>
          <w:p w:rsidR="00C5492D" w:rsidRPr="00AE1407" w:rsidRDefault="00C5492D" w:rsidP="00D348B4">
            <w:pPr>
              <w:rPr>
                <w:noProof/>
              </w:rPr>
            </w:pPr>
          </w:p>
        </w:tc>
        <w:tc>
          <w:tcPr>
            <w:tcW w:w="5914" w:type="dxa"/>
          </w:tcPr>
          <w:p w:rsidR="00C5492D" w:rsidRPr="005C0B32" w:rsidRDefault="00C5492D" w:rsidP="00D348B4">
            <w:pPr>
              <w:jc w:val="both"/>
              <w:rPr>
                <w:b/>
                <w:noProof/>
              </w:rPr>
            </w:pPr>
            <w:r w:rsidRPr="005C0B32">
              <w:rPr>
                <w:b/>
                <w:noProof/>
              </w:rPr>
              <w:t>Доказ за правно лице/предузетника/физичко лице: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</w:p>
          <w:p w:rsidR="00C5492D" w:rsidRPr="00594327" w:rsidRDefault="00C5492D" w:rsidP="00D348B4">
            <w:pPr>
              <w:jc w:val="both"/>
              <w:rPr>
                <w:noProof/>
                <w:color w:val="FF0000"/>
                <w:lang w:val="sr-Cyrl-RS"/>
              </w:rPr>
            </w:pPr>
            <w:r w:rsidRPr="005C0B32">
              <w:rPr>
                <w:noProof/>
              </w:rPr>
              <w:t xml:space="preserve">Потврда НБС о броју дана неликвидности за период од          </w:t>
            </w:r>
            <w:r>
              <w:rPr>
                <w:noProof/>
                <w:lang w:val="sr-Cyrl-RS"/>
              </w:rPr>
              <w:t>07.11.2013. до 07.11.2014. године.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  <w:r w:rsidRPr="005C0B32">
              <w:rPr>
                <w:noProof/>
              </w:rPr>
              <w:t xml:space="preserve">Потврду издаје: 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  <w:r w:rsidRPr="005C0B32">
              <w:rPr>
                <w:noProof/>
              </w:rPr>
              <w:t>Народна банка Србије, Дирекција за регистре и принудну наплату, Одељење за принудну наплату, Одсек за пријем основа и налога принудне наплате, Крагујевац. Потврда се може наручити електронски, слањем захтева са потребним подацима о фирми и исказом која се потврда жели).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  <w:r w:rsidRPr="005C0B32">
              <w:rPr>
                <w:noProof/>
              </w:rPr>
              <w:t xml:space="preserve">Извештај о бонитету НБС (или АПР) или понуђачеви биланси стања и биланси успеха, или изводи из тих биланса, за претходне </w:t>
            </w:r>
            <w:r>
              <w:rPr>
                <w:noProof/>
                <w:lang w:val="sr-Cyrl-RS"/>
              </w:rPr>
              <w:t>три</w:t>
            </w:r>
            <w:r w:rsidRPr="005C0B32">
              <w:rPr>
                <w:noProof/>
              </w:rPr>
              <w:t xml:space="preserve"> обрачунске године </w:t>
            </w:r>
            <w:r w:rsidRPr="00340503">
              <w:rPr>
                <w:noProof/>
              </w:rPr>
              <w:t>(</w:t>
            </w:r>
            <w:r w:rsidRPr="00340503">
              <w:rPr>
                <w:noProof/>
                <w:lang w:val="sr-Cyrl-RS"/>
              </w:rPr>
              <w:t xml:space="preserve">2011, </w:t>
            </w:r>
            <w:r w:rsidRPr="005C0B32">
              <w:rPr>
                <w:noProof/>
              </w:rPr>
              <w:t xml:space="preserve">2012. и 2013.год.). </w:t>
            </w:r>
          </w:p>
        </w:tc>
      </w:tr>
    </w:tbl>
    <w:p w:rsidR="00C5492D" w:rsidRDefault="00C5492D" w:rsidP="00417690">
      <w:pPr>
        <w:rPr>
          <w:lang w:val="sr-Cyrl-RS"/>
        </w:rPr>
      </w:pPr>
    </w:p>
    <w:p w:rsidR="00C5492D" w:rsidRPr="00417690" w:rsidRDefault="00C5492D" w:rsidP="00417690">
      <w:pPr>
        <w:rPr>
          <w:lang w:val="sr-Cyrl-RS"/>
        </w:rPr>
      </w:pPr>
    </w:p>
    <w:p w:rsidR="00417690" w:rsidRDefault="00417690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417690" w:rsidRPr="002341EE" w:rsidRDefault="00417690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341EE">
        <w:rPr>
          <w:rFonts w:eastAsiaTheme="minorHAnsi"/>
          <w:b/>
          <w:lang w:val="sr-Cyrl-CS"/>
        </w:rPr>
        <w:t xml:space="preserve">Мења се и гласи: </w:t>
      </w:r>
    </w:p>
    <w:p w:rsidR="00417690" w:rsidRDefault="00417690" w:rsidP="00417690">
      <w:pPr>
        <w:jc w:val="both"/>
        <w:rPr>
          <w:b/>
          <w:u w:val="single"/>
          <w:lang w:val="sr-Cyrl-RS"/>
        </w:rPr>
      </w:pPr>
    </w:p>
    <w:tbl>
      <w:tblPr>
        <w:tblW w:w="9512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797"/>
        <w:gridCol w:w="5914"/>
      </w:tblGrid>
      <w:tr w:rsidR="00C5492D" w:rsidRPr="005C0B32" w:rsidTr="00D348B4">
        <w:trPr>
          <w:trHeight w:val="848"/>
        </w:trPr>
        <w:tc>
          <w:tcPr>
            <w:tcW w:w="801" w:type="dxa"/>
            <w:vAlign w:val="center"/>
          </w:tcPr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  <w:r w:rsidRPr="00AE1407">
              <w:rPr>
                <w:noProof/>
              </w:rPr>
              <w:t>6.</w:t>
            </w: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</w:tc>
        <w:tc>
          <w:tcPr>
            <w:tcW w:w="2797" w:type="dxa"/>
          </w:tcPr>
          <w:p w:rsidR="00C5492D" w:rsidRPr="00AE1407" w:rsidRDefault="00C5492D" w:rsidP="00D348B4">
            <w:pPr>
              <w:rPr>
                <w:noProof/>
              </w:rPr>
            </w:pPr>
            <w:r w:rsidRPr="005C0B32">
              <w:rPr>
                <w:noProof/>
              </w:rPr>
              <w:t>Да понуђач располаже неопходним финан</w:t>
            </w:r>
            <w:r>
              <w:rPr>
                <w:noProof/>
              </w:rPr>
              <w:t>сијским и пословним капацитетом</w:t>
            </w:r>
            <w:r>
              <w:rPr>
                <w:noProof/>
                <w:lang w:val="sr-Cyrl-RS"/>
              </w:rPr>
              <w:t>,</w:t>
            </w:r>
            <w:r w:rsidRPr="005C0B32">
              <w:rPr>
                <w:noProof/>
              </w:rPr>
              <w:t xml:space="preserve"> тј. да нема ни један дан неликвидности у периоду од </w:t>
            </w:r>
            <w:r>
              <w:rPr>
                <w:noProof/>
                <w:lang w:val="sr-Cyrl-RS"/>
              </w:rPr>
              <w:t xml:space="preserve">дванаест (12) </w:t>
            </w:r>
            <w:r w:rsidRPr="005C0B32">
              <w:rPr>
                <w:noProof/>
              </w:rPr>
              <w:t xml:space="preserve">месеци пре објављивања позива, односно од дана </w:t>
            </w:r>
            <w:r>
              <w:rPr>
                <w:noProof/>
              </w:rPr>
              <w:t xml:space="preserve">07.11.2013. </w:t>
            </w:r>
            <w:r>
              <w:rPr>
                <w:noProof/>
                <w:lang w:val="sr-Cyrl-RS"/>
              </w:rPr>
              <w:t>до 07.11.2014.</w:t>
            </w:r>
            <w:r w:rsidRPr="005C0B32">
              <w:rPr>
                <w:noProof/>
              </w:rPr>
              <w:t xml:space="preserve"> године</w:t>
            </w:r>
            <w:r>
              <w:rPr>
                <w:noProof/>
              </w:rPr>
              <w:t>,</w:t>
            </w:r>
            <w:r w:rsidRPr="005C0B32">
              <w:rPr>
                <w:noProof/>
              </w:rPr>
              <w:t xml:space="preserve"> и да је остварио </w:t>
            </w:r>
            <w:r w:rsidRPr="0095481E">
              <w:rPr>
                <w:noProof/>
              </w:rPr>
              <w:t xml:space="preserve">најмање </w:t>
            </w:r>
            <w:r w:rsidRPr="0095481E">
              <w:rPr>
                <w:noProof/>
                <w:lang w:val="sr-Cyrl-RS"/>
              </w:rPr>
              <w:t>50</w:t>
            </w:r>
            <w:r w:rsidRPr="0095481E">
              <w:rPr>
                <w:noProof/>
              </w:rPr>
              <w:t>.000.000,00 дин.</w:t>
            </w:r>
            <w:r w:rsidRPr="00340503">
              <w:rPr>
                <w:noProof/>
              </w:rPr>
              <w:t xml:space="preserve"> прихода у </w:t>
            </w:r>
            <w:r>
              <w:rPr>
                <w:noProof/>
                <w:lang w:val="sr-Cyrl-RS"/>
              </w:rPr>
              <w:t xml:space="preserve"> </w:t>
            </w:r>
            <w:r w:rsidRPr="00340503">
              <w:rPr>
                <w:noProof/>
              </w:rPr>
              <w:t xml:space="preserve">последње </w:t>
            </w:r>
            <w:r w:rsidRPr="00340503">
              <w:rPr>
                <w:noProof/>
                <w:lang w:val="sr-Cyrl-RS"/>
              </w:rPr>
              <w:t>три</w:t>
            </w:r>
            <w:r w:rsidRPr="00340503">
              <w:rPr>
                <w:noProof/>
              </w:rPr>
              <w:t xml:space="preserve"> </w:t>
            </w:r>
            <w:r w:rsidRPr="005C3638">
              <w:rPr>
                <w:noProof/>
              </w:rPr>
              <w:t>године.</w:t>
            </w:r>
          </w:p>
          <w:p w:rsidR="00C5492D" w:rsidRPr="00AE1407" w:rsidRDefault="00C5492D" w:rsidP="00D348B4">
            <w:pPr>
              <w:rPr>
                <w:noProof/>
              </w:rPr>
            </w:pPr>
          </w:p>
        </w:tc>
        <w:tc>
          <w:tcPr>
            <w:tcW w:w="5914" w:type="dxa"/>
          </w:tcPr>
          <w:p w:rsidR="00C5492D" w:rsidRPr="005C0B32" w:rsidRDefault="00C5492D" w:rsidP="00D348B4">
            <w:pPr>
              <w:jc w:val="both"/>
              <w:rPr>
                <w:b/>
                <w:noProof/>
              </w:rPr>
            </w:pPr>
            <w:r w:rsidRPr="005C0B32">
              <w:rPr>
                <w:b/>
                <w:noProof/>
              </w:rPr>
              <w:t>Доказ за правно лице/предузетника/физичко лице: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</w:p>
          <w:p w:rsidR="00C5492D" w:rsidRPr="00594327" w:rsidRDefault="00C5492D" w:rsidP="00D348B4">
            <w:pPr>
              <w:jc w:val="both"/>
              <w:rPr>
                <w:noProof/>
                <w:color w:val="FF0000"/>
                <w:lang w:val="sr-Cyrl-RS"/>
              </w:rPr>
            </w:pPr>
            <w:r w:rsidRPr="005C0B32">
              <w:rPr>
                <w:noProof/>
              </w:rPr>
              <w:t xml:space="preserve">Потврда НБС о броју дана неликвидности за период од          </w:t>
            </w:r>
            <w:r>
              <w:rPr>
                <w:noProof/>
                <w:lang w:val="sr-Cyrl-RS"/>
              </w:rPr>
              <w:t>07.11.2013. до 07.11.2014. године.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  <w:r w:rsidRPr="005C0B32">
              <w:rPr>
                <w:noProof/>
              </w:rPr>
              <w:t xml:space="preserve">Потврду издаје: 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  <w:r w:rsidRPr="005C0B32">
              <w:rPr>
                <w:noProof/>
              </w:rPr>
              <w:t>Народна банка Србије, Дирекција за регистре и принудну наплату, Одељење за принудну наплату, Одсек за пријем основа и налога принудне наплате, Крагујевац. Потврда се може наручити електронски, слањем захтева са потребним подацима о фирми и исказом која се потврда жели).</w:t>
            </w:r>
          </w:p>
          <w:p w:rsidR="00C5492D" w:rsidRPr="005C0B32" w:rsidRDefault="00C5492D" w:rsidP="00D348B4">
            <w:pPr>
              <w:jc w:val="both"/>
              <w:rPr>
                <w:noProof/>
              </w:rPr>
            </w:pPr>
            <w:r w:rsidRPr="005C0B32">
              <w:rPr>
                <w:noProof/>
              </w:rPr>
              <w:t xml:space="preserve">Извештај о бонитету НБС (или АПР) или понуђачеви биланси стања и биланси успеха, или изводи из тих биланса, за претходне </w:t>
            </w:r>
            <w:r>
              <w:rPr>
                <w:noProof/>
                <w:lang w:val="sr-Cyrl-RS"/>
              </w:rPr>
              <w:t>три</w:t>
            </w:r>
            <w:r w:rsidRPr="005C0B32">
              <w:rPr>
                <w:noProof/>
              </w:rPr>
              <w:t xml:space="preserve"> обрачунске године </w:t>
            </w:r>
            <w:r w:rsidRPr="00340503">
              <w:rPr>
                <w:noProof/>
              </w:rPr>
              <w:t>(</w:t>
            </w:r>
            <w:r w:rsidRPr="00340503">
              <w:rPr>
                <w:noProof/>
                <w:lang w:val="sr-Cyrl-RS"/>
              </w:rPr>
              <w:t xml:space="preserve">2011, </w:t>
            </w:r>
            <w:r w:rsidRPr="005C0B32">
              <w:rPr>
                <w:noProof/>
              </w:rPr>
              <w:t xml:space="preserve">2012. и 2013.год.). </w:t>
            </w:r>
          </w:p>
        </w:tc>
      </w:tr>
    </w:tbl>
    <w:p w:rsidR="00417690" w:rsidRDefault="00417690" w:rsidP="00417690">
      <w:pPr>
        <w:pStyle w:val="BodyTextIndent"/>
        <w:ind w:left="0" w:firstLine="720"/>
        <w:jc w:val="both"/>
        <w:rPr>
          <w:iCs/>
          <w:lang w:val="sr-Cyrl-RS"/>
        </w:rPr>
      </w:pPr>
    </w:p>
    <w:p w:rsidR="00417690" w:rsidRDefault="00417690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5492D" w:rsidRDefault="00C5492D" w:rsidP="00C5492D">
      <w:pPr>
        <w:rPr>
          <w:lang w:val="sr-Cyrl-RS"/>
        </w:rPr>
      </w:pPr>
      <w:r>
        <w:rPr>
          <w:lang w:val="sr-Cyrl-RS"/>
        </w:rPr>
        <w:t>Стоји:</w:t>
      </w:r>
    </w:p>
    <w:p w:rsidR="00417690" w:rsidRDefault="00417690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341EE">
        <w:rPr>
          <w:rFonts w:eastAsiaTheme="minorHAnsi"/>
          <w:b/>
          <w:lang w:val="sr-Cyrl-CS"/>
        </w:rPr>
        <w:t xml:space="preserve">Мења се и гласи: </w:t>
      </w:r>
    </w:p>
    <w:p w:rsidR="00C5492D" w:rsidRDefault="00C5492D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5492D" w:rsidRDefault="00C5492D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tbl>
      <w:tblPr>
        <w:tblW w:w="9512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797"/>
        <w:gridCol w:w="5914"/>
      </w:tblGrid>
      <w:tr w:rsidR="00C5492D" w:rsidRPr="005C3638" w:rsidTr="00D348B4">
        <w:trPr>
          <w:trHeight w:val="1121"/>
        </w:trPr>
        <w:tc>
          <w:tcPr>
            <w:tcW w:w="801" w:type="dxa"/>
            <w:vAlign w:val="center"/>
          </w:tcPr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  <w:r w:rsidRPr="00AE1407">
              <w:rPr>
                <w:noProof/>
              </w:rPr>
              <w:t>7.</w:t>
            </w: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</w:tc>
        <w:tc>
          <w:tcPr>
            <w:tcW w:w="2797" w:type="dxa"/>
          </w:tcPr>
          <w:p w:rsidR="00C5492D" w:rsidRPr="0095481E" w:rsidRDefault="00C5492D" w:rsidP="00D348B4">
            <w:pPr>
              <w:rPr>
                <w:lang w:val="sr-Cyrl-RS"/>
              </w:rPr>
            </w:pPr>
            <w:r w:rsidRPr="005C3638">
              <w:rPr>
                <w:lang w:val="sr-Latn-CS"/>
              </w:rPr>
              <w:t>Понуђач располаже довољним техничким и кадровским капацитетом</w:t>
            </w:r>
            <w:r>
              <w:rPr>
                <w:lang w:val="sr-Cyrl-RS"/>
              </w:rPr>
              <w:t xml:space="preserve">; - </w:t>
            </w:r>
            <w:r w:rsidRPr="005C3638">
              <w:rPr>
                <w:lang w:val="sr-Latn-CS"/>
              </w:rPr>
              <w:t>понуђач мора да има</w:t>
            </w:r>
          </w:p>
          <w:p w:rsidR="00C5492D" w:rsidRPr="005C3638" w:rsidRDefault="00C5492D" w:rsidP="00D348B4">
            <w:pPr>
              <w:rPr>
                <w:lang w:val="sr-Cyrl-RS"/>
              </w:rPr>
            </w:pPr>
            <w:r w:rsidRPr="005C3638">
              <w:rPr>
                <w:lang w:val="sr-Cyrl-RS"/>
              </w:rPr>
              <w:t>најмање тридесет</w:t>
            </w:r>
            <w:r>
              <w:rPr>
                <w:lang w:val="sr-Cyrl-RS"/>
              </w:rPr>
              <w:t xml:space="preserve"> (30) </w:t>
            </w:r>
            <w:r w:rsidRPr="005C3638">
              <w:rPr>
                <w:lang w:val="sr-Cyrl-RS"/>
              </w:rPr>
              <w:t>запослених</w:t>
            </w:r>
            <w:r w:rsidRPr="005C3638">
              <w:rPr>
                <w:lang w:val="sr-Latn-CS"/>
              </w:rPr>
              <w:t xml:space="preserve"> </w:t>
            </w:r>
            <w:r w:rsidRPr="005C3638">
              <w:rPr>
                <w:lang w:val="sr-Cyrl-RS"/>
              </w:rPr>
              <w:t>радника</w:t>
            </w:r>
            <w:r>
              <w:rPr>
                <w:lang w:val="sr-Cyrl-RS"/>
              </w:rPr>
              <w:t xml:space="preserve"> и </w:t>
            </w:r>
            <w:r w:rsidRPr="005C3638">
              <w:rPr>
                <w:lang w:val="sr-Cyrl-RS"/>
              </w:rPr>
              <w:t xml:space="preserve">мора да располаже са најмање </w:t>
            </w:r>
            <w:r>
              <w:rPr>
                <w:lang w:val="sr-Cyrl-RS"/>
              </w:rPr>
              <w:t>пет (</w:t>
            </w:r>
            <w:r w:rsidRPr="005C3638">
              <w:rPr>
                <w:lang w:val="sr-Cyrl-RS"/>
              </w:rPr>
              <w:t>5</w:t>
            </w:r>
            <w:r>
              <w:rPr>
                <w:lang w:val="sr-Cyrl-RS"/>
              </w:rPr>
              <w:t>)</w:t>
            </w:r>
            <w:r w:rsidRPr="005C3638">
              <w:rPr>
                <w:lang w:val="sr-Cyrl-RS"/>
              </w:rPr>
              <w:t xml:space="preserve"> доставних возила за превоз столарије</w:t>
            </w:r>
            <w:r>
              <w:rPr>
                <w:lang w:val="sr-Cyrl-RS"/>
              </w:rPr>
              <w:t>;</w:t>
            </w:r>
          </w:p>
        </w:tc>
        <w:tc>
          <w:tcPr>
            <w:tcW w:w="5914" w:type="dxa"/>
            <w:vAlign w:val="center"/>
          </w:tcPr>
          <w:p w:rsidR="00C5492D" w:rsidRPr="005C3638" w:rsidRDefault="00C5492D" w:rsidP="00D348B4">
            <w:pPr>
              <w:jc w:val="both"/>
              <w:rPr>
                <w:lang w:val="sr-Cyrl-RS"/>
              </w:rPr>
            </w:pPr>
            <w:r w:rsidRPr="005C3638">
              <w:rPr>
                <w:lang w:val="sr-Cyrl-RS"/>
              </w:rPr>
              <w:t>ДОКАЗ:</w:t>
            </w:r>
          </w:p>
          <w:p w:rsidR="00C5492D" w:rsidRPr="005C3638" w:rsidRDefault="00C5492D" w:rsidP="00D348B4">
            <w:pPr>
              <w:rPr>
                <w:noProof/>
              </w:rPr>
            </w:pPr>
            <w:r w:rsidRPr="005C3638">
              <w:rPr>
                <w:noProof/>
                <w:u w:val="single"/>
              </w:rPr>
              <w:t>За раднике доставити:</w:t>
            </w:r>
            <w:r w:rsidRPr="005C3638">
              <w:rPr>
                <w:noProof/>
              </w:rPr>
              <w:t xml:space="preserve"> фотокопиј</w:t>
            </w:r>
            <w:r>
              <w:rPr>
                <w:noProof/>
                <w:lang w:val="sr-Cyrl-RS"/>
              </w:rPr>
              <w:t>е</w:t>
            </w:r>
            <w:r w:rsidRPr="005C3638">
              <w:rPr>
                <w:noProof/>
              </w:rPr>
              <w:t xml:space="preserve"> радних књижица запослених и фотокопиј</w:t>
            </w:r>
            <w:r>
              <w:rPr>
                <w:noProof/>
                <w:lang w:val="sr-Cyrl-RS"/>
              </w:rPr>
              <w:t>е</w:t>
            </w:r>
            <w:r w:rsidRPr="005C3638">
              <w:rPr>
                <w:noProof/>
              </w:rPr>
              <w:t xml:space="preserve"> М-А (стари М2) образаца пријаве запослених на обавезно социјално осигурање</w:t>
            </w:r>
            <w:r w:rsidRPr="005C3638">
              <w:rPr>
                <w:lang w:val="sr-Cyrl-CS"/>
              </w:rPr>
              <w:t>.</w:t>
            </w:r>
            <w:r w:rsidRPr="005C3638">
              <w:rPr>
                <w:noProof/>
              </w:rPr>
              <w:t xml:space="preserve"> За радника који није запослен код понуђача: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набавке.</w:t>
            </w:r>
          </w:p>
          <w:p w:rsidR="00C5492D" w:rsidRPr="005C3638" w:rsidRDefault="00C5492D" w:rsidP="00D348B4">
            <w:pPr>
              <w:jc w:val="both"/>
            </w:pPr>
            <w:r w:rsidRPr="005C3638">
              <w:rPr>
                <w:u w:val="single"/>
                <w:lang w:val="sr-Cyrl-RS"/>
              </w:rPr>
              <w:t>За возила доставити</w:t>
            </w:r>
            <w:r w:rsidRPr="005C3638">
              <w:rPr>
                <w:lang w:val="sr-Cyrl-RS"/>
              </w:rPr>
              <w:t>: фотокопију саобраћајне дозволе или други доказ о располагању моторним возилом (уговор о лизингу, закупу и сл.)</w:t>
            </w:r>
          </w:p>
        </w:tc>
      </w:tr>
    </w:tbl>
    <w:p w:rsidR="00C5492D" w:rsidRDefault="00C5492D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5492D" w:rsidRDefault="00C5492D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5492D" w:rsidRDefault="00C5492D" w:rsidP="00C5492D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341EE">
        <w:rPr>
          <w:rFonts w:eastAsiaTheme="minorHAnsi"/>
          <w:b/>
          <w:lang w:val="sr-Cyrl-CS"/>
        </w:rPr>
        <w:t xml:space="preserve">Мења се и гласи: </w:t>
      </w:r>
    </w:p>
    <w:p w:rsidR="00C5492D" w:rsidRDefault="00C5492D" w:rsidP="00C5492D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5492D" w:rsidRDefault="00C5492D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5492D" w:rsidRDefault="00C5492D" w:rsidP="0041769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tbl>
      <w:tblPr>
        <w:tblW w:w="9512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797"/>
        <w:gridCol w:w="5914"/>
      </w:tblGrid>
      <w:tr w:rsidR="00C5492D" w:rsidRPr="005C3638" w:rsidTr="00D348B4">
        <w:trPr>
          <w:trHeight w:val="1121"/>
        </w:trPr>
        <w:tc>
          <w:tcPr>
            <w:tcW w:w="801" w:type="dxa"/>
            <w:vAlign w:val="center"/>
          </w:tcPr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  <w:r w:rsidRPr="00AE1407">
              <w:rPr>
                <w:noProof/>
              </w:rPr>
              <w:t>7.</w:t>
            </w: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  <w:p w:rsidR="00C5492D" w:rsidRPr="00AE1407" w:rsidRDefault="00C5492D" w:rsidP="00D348B4">
            <w:pPr>
              <w:pStyle w:val="ListParagraph"/>
              <w:ind w:left="405"/>
              <w:rPr>
                <w:noProof/>
              </w:rPr>
            </w:pPr>
          </w:p>
        </w:tc>
        <w:tc>
          <w:tcPr>
            <w:tcW w:w="2797" w:type="dxa"/>
          </w:tcPr>
          <w:p w:rsidR="00C5492D" w:rsidRPr="0095481E" w:rsidRDefault="00C5492D" w:rsidP="00D348B4">
            <w:pPr>
              <w:rPr>
                <w:lang w:val="sr-Cyrl-RS"/>
              </w:rPr>
            </w:pPr>
            <w:r w:rsidRPr="005C3638">
              <w:rPr>
                <w:lang w:val="sr-Latn-CS"/>
              </w:rPr>
              <w:t>Понуђач располаже довољним техничким и кадровским капацитетом</w:t>
            </w:r>
            <w:r>
              <w:rPr>
                <w:lang w:val="sr-Cyrl-RS"/>
              </w:rPr>
              <w:t xml:space="preserve">; - </w:t>
            </w:r>
            <w:r w:rsidRPr="005C3638">
              <w:rPr>
                <w:lang w:val="sr-Latn-CS"/>
              </w:rPr>
              <w:t>понуђач мора да има</w:t>
            </w:r>
          </w:p>
          <w:p w:rsidR="00C5492D" w:rsidRPr="005C3638" w:rsidRDefault="00C5492D" w:rsidP="00C5492D">
            <w:pPr>
              <w:rPr>
                <w:lang w:val="sr-Cyrl-RS"/>
              </w:rPr>
            </w:pPr>
            <w:r w:rsidRPr="005C3638">
              <w:rPr>
                <w:lang w:val="sr-Cyrl-RS"/>
              </w:rPr>
              <w:t>најмање тридесет</w:t>
            </w:r>
            <w:r>
              <w:rPr>
                <w:lang w:val="sr-Cyrl-RS"/>
              </w:rPr>
              <w:t xml:space="preserve"> (30) </w:t>
            </w:r>
            <w:r w:rsidRPr="005C3638">
              <w:rPr>
                <w:lang w:val="sr-Cyrl-RS"/>
              </w:rPr>
              <w:t>запослених</w:t>
            </w:r>
            <w:r w:rsidRPr="005C3638">
              <w:rPr>
                <w:lang w:val="sr-Latn-CS"/>
              </w:rPr>
              <w:t xml:space="preserve"> </w:t>
            </w:r>
            <w:r w:rsidRPr="005C3638">
              <w:rPr>
                <w:lang w:val="sr-Cyrl-RS"/>
              </w:rPr>
              <w:t>радника</w:t>
            </w:r>
            <w:r>
              <w:rPr>
                <w:lang w:val="sr-Cyrl-RS"/>
              </w:rPr>
              <w:t xml:space="preserve"> и </w:t>
            </w:r>
            <w:r w:rsidRPr="005C3638">
              <w:rPr>
                <w:lang w:val="sr-Cyrl-RS"/>
              </w:rPr>
              <w:t xml:space="preserve">мора да располаже са најмање </w:t>
            </w:r>
            <w:r>
              <w:rPr>
                <w:lang w:val="sr-Cyrl-RS"/>
              </w:rPr>
              <w:t>два (2)</w:t>
            </w:r>
            <w:r w:rsidR="00151565">
              <w:rPr>
                <w:lang w:val="sr-Cyrl-RS"/>
              </w:rPr>
              <w:t xml:space="preserve"> доставна</w:t>
            </w:r>
            <w:r w:rsidRPr="005C3638">
              <w:rPr>
                <w:lang w:val="sr-Cyrl-RS"/>
              </w:rPr>
              <w:t xml:space="preserve"> возила за превоз столарије</w:t>
            </w:r>
            <w:r>
              <w:rPr>
                <w:lang w:val="sr-Cyrl-RS"/>
              </w:rPr>
              <w:t>;</w:t>
            </w:r>
          </w:p>
        </w:tc>
        <w:tc>
          <w:tcPr>
            <w:tcW w:w="5914" w:type="dxa"/>
            <w:vAlign w:val="center"/>
          </w:tcPr>
          <w:p w:rsidR="00C5492D" w:rsidRPr="005C3638" w:rsidRDefault="00C5492D" w:rsidP="00D348B4">
            <w:pPr>
              <w:jc w:val="both"/>
              <w:rPr>
                <w:lang w:val="sr-Cyrl-RS"/>
              </w:rPr>
            </w:pPr>
            <w:r w:rsidRPr="005C3638">
              <w:rPr>
                <w:lang w:val="sr-Cyrl-RS"/>
              </w:rPr>
              <w:t>ДОКАЗ:</w:t>
            </w:r>
          </w:p>
          <w:p w:rsidR="00C5492D" w:rsidRPr="005C3638" w:rsidRDefault="00C5492D" w:rsidP="00D348B4">
            <w:pPr>
              <w:rPr>
                <w:noProof/>
              </w:rPr>
            </w:pPr>
            <w:r w:rsidRPr="005C3638">
              <w:rPr>
                <w:noProof/>
                <w:u w:val="single"/>
              </w:rPr>
              <w:t>За раднике доставити:</w:t>
            </w:r>
            <w:r w:rsidRPr="005C3638">
              <w:rPr>
                <w:noProof/>
              </w:rPr>
              <w:t xml:space="preserve"> фотокопиј</w:t>
            </w:r>
            <w:r>
              <w:rPr>
                <w:noProof/>
                <w:lang w:val="sr-Cyrl-RS"/>
              </w:rPr>
              <w:t>е</w:t>
            </w:r>
            <w:r w:rsidRPr="005C3638">
              <w:rPr>
                <w:noProof/>
              </w:rPr>
              <w:t xml:space="preserve"> радних књижица запослених и фотокопиј</w:t>
            </w:r>
            <w:r>
              <w:rPr>
                <w:noProof/>
                <w:lang w:val="sr-Cyrl-RS"/>
              </w:rPr>
              <w:t>е</w:t>
            </w:r>
            <w:r w:rsidRPr="005C3638">
              <w:rPr>
                <w:noProof/>
              </w:rPr>
              <w:t xml:space="preserve"> М-А (стари М2) образаца пријаве запослених на обавезно социјално осигурање</w:t>
            </w:r>
            <w:r w:rsidRPr="005C3638">
              <w:rPr>
                <w:lang w:val="sr-Cyrl-CS"/>
              </w:rPr>
              <w:t>.</w:t>
            </w:r>
            <w:r w:rsidRPr="005C3638">
              <w:rPr>
                <w:noProof/>
              </w:rPr>
              <w:t xml:space="preserve"> За радника који није запослен код понуђача: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набавке.</w:t>
            </w:r>
          </w:p>
          <w:p w:rsidR="00C5492D" w:rsidRPr="005C3638" w:rsidRDefault="00C5492D" w:rsidP="00D348B4">
            <w:pPr>
              <w:jc w:val="both"/>
            </w:pPr>
            <w:r w:rsidRPr="005C3638">
              <w:rPr>
                <w:u w:val="single"/>
                <w:lang w:val="sr-Cyrl-RS"/>
              </w:rPr>
              <w:t>За возила доставити</w:t>
            </w:r>
            <w:r w:rsidRPr="005C3638">
              <w:rPr>
                <w:lang w:val="sr-Cyrl-RS"/>
              </w:rPr>
              <w:t>: фотокопију саобраћајне дозволе или други доказ о располагању моторним возилом (уговор о лизингу, закупу и сл.)</w:t>
            </w:r>
          </w:p>
        </w:tc>
      </w:tr>
    </w:tbl>
    <w:p w:rsidR="00C5492D" w:rsidRDefault="00C5492D" w:rsidP="00151565">
      <w:pPr>
        <w:rPr>
          <w:rFonts w:eastAsiaTheme="minorHAnsi"/>
          <w:b/>
          <w:lang w:val="sr-Cyrl-CS"/>
        </w:rPr>
      </w:pPr>
    </w:p>
    <w:p w:rsidR="00151565" w:rsidRDefault="00151565" w:rsidP="00151565">
      <w:pPr>
        <w:rPr>
          <w:lang w:val="sr-Cyrl-RS"/>
        </w:rPr>
      </w:pPr>
      <w:r>
        <w:rPr>
          <w:rFonts w:eastAsiaTheme="minorHAnsi"/>
          <w:b/>
          <w:lang w:val="sr-Cyrl-CS"/>
        </w:rPr>
        <w:t>УБАЦИТЕ И ОНУ РЕЧЕНИЦУ ДА ПОНУЂАЧ МОЖЕ КАПАЦИТЕТ ДА ИСПУНИ ЗАЈЕДНИЧКОМ ПОНУДОМ – И ОБЈАВИТЕ!</w:t>
      </w:r>
      <w:bookmarkStart w:id="4" w:name="_GoBack"/>
      <w:bookmarkEnd w:id="4"/>
    </w:p>
    <w:p w:rsidR="00C5492D" w:rsidRDefault="00C5492D" w:rsidP="007A6455">
      <w:pPr>
        <w:ind w:left="2160"/>
        <w:jc w:val="center"/>
        <w:rPr>
          <w:lang w:val="sr-Cyrl-RS"/>
        </w:rPr>
      </w:pPr>
    </w:p>
    <w:p w:rsidR="007A6455" w:rsidRDefault="007A6455" w:rsidP="007A6455">
      <w:pPr>
        <w:ind w:left="2160"/>
        <w:jc w:val="center"/>
      </w:pPr>
      <w:r w:rsidRPr="002F4179">
        <w:t>С</w:t>
      </w:r>
      <w:r>
        <w:t>'</w:t>
      </w:r>
      <w:r w:rsidRPr="002F4179">
        <w:t xml:space="preserve"> </w:t>
      </w:r>
      <w:proofErr w:type="spellStart"/>
      <w:r w:rsidRPr="002F4179">
        <w:t>поштовањем</w:t>
      </w:r>
      <w:proofErr w:type="spellEnd"/>
      <w:r w:rsidRPr="002F4179">
        <w:t>,</w:t>
      </w:r>
    </w:p>
    <w:p w:rsidR="007A6455" w:rsidRPr="00071FF2" w:rsidRDefault="00C1795F" w:rsidP="00C1795F">
      <w:pPr>
        <w:ind w:left="4320"/>
      </w:pPr>
      <w:r>
        <w:t xml:space="preserve">        </w:t>
      </w:r>
      <w:proofErr w:type="spellStart"/>
      <w:r w:rsidR="007A6455" w:rsidRPr="002F4179">
        <w:t>Комисија</w:t>
      </w:r>
      <w:proofErr w:type="spellEnd"/>
      <w:r w:rsidR="007A6455" w:rsidRPr="002F4179">
        <w:t xml:space="preserve"> </w:t>
      </w:r>
      <w:proofErr w:type="spellStart"/>
      <w:r w:rsidR="007A6455" w:rsidRPr="002F4179">
        <w:t>за</w:t>
      </w:r>
      <w:proofErr w:type="spellEnd"/>
      <w:r w:rsidR="007A6455" w:rsidRPr="002F4179">
        <w:t xml:space="preserve"> </w:t>
      </w:r>
      <w:proofErr w:type="spellStart"/>
      <w:r w:rsidR="007A6455" w:rsidRPr="002F4179">
        <w:t>јавну</w:t>
      </w:r>
      <w:proofErr w:type="spellEnd"/>
      <w:r w:rsidR="007A6455" w:rsidRPr="002F4179">
        <w:t xml:space="preserve"> </w:t>
      </w:r>
      <w:proofErr w:type="spellStart"/>
      <w:proofErr w:type="gramStart"/>
      <w:r w:rsidR="007A6455" w:rsidRPr="002F4179">
        <w:t>набаку</w:t>
      </w:r>
      <w:proofErr w:type="spellEnd"/>
      <w:r w:rsidR="007A6455" w:rsidRPr="002F4179">
        <w:t xml:space="preserve"> </w:t>
      </w:r>
      <w:r w:rsidR="00C5492D">
        <w:rPr>
          <w:lang w:val="sr-Cyrl-RS"/>
        </w:rPr>
        <w:t xml:space="preserve"> 225</w:t>
      </w:r>
      <w:proofErr w:type="gramEnd"/>
      <w:r w:rsidR="007A6455">
        <w:t>-1</w:t>
      </w:r>
      <w:r w:rsidR="00047E6E">
        <w:rPr>
          <w:lang w:val="sr-Cyrl-RS"/>
        </w:rPr>
        <w:t>4</w:t>
      </w:r>
      <w:r w:rsidR="007A6455" w:rsidRPr="002F4179">
        <w:t>-О</w:t>
      </w:r>
    </w:p>
    <w:p w:rsidR="007A6455" w:rsidRPr="007A6455" w:rsidRDefault="007A6455" w:rsidP="007A6455">
      <w:pPr>
        <w:spacing w:after="100" w:afterAutospacing="1"/>
        <w:rPr>
          <w:rFonts w:ascii="Calibri" w:hAnsi="Calibri" w:cs="Calibri"/>
          <w:color w:val="000000"/>
          <w:sz w:val="23"/>
          <w:szCs w:val="23"/>
        </w:rPr>
      </w:pPr>
    </w:p>
    <w:sectPr w:rsidR="007A6455" w:rsidRPr="007A6455" w:rsidSect="00FF2885">
      <w:headerReference w:type="default" r:id="rId8"/>
      <w:pgSz w:w="11907" w:h="16839" w:code="9"/>
      <w:pgMar w:top="1531" w:right="1418" w:bottom="153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90" w:rsidRDefault="00417690" w:rsidP="002F2013">
      <w:r>
        <w:separator/>
      </w:r>
    </w:p>
  </w:endnote>
  <w:endnote w:type="continuationSeparator" w:id="0">
    <w:p w:rsidR="00417690" w:rsidRDefault="00417690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90" w:rsidRDefault="00417690" w:rsidP="002F2013">
      <w:r>
        <w:separator/>
      </w:r>
    </w:p>
  </w:footnote>
  <w:footnote w:type="continuationSeparator" w:id="0">
    <w:p w:rsidR="00417690" w:rsidRDefault="00417690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90" w:rsidRPr="002F2013" w:rsidRDefault="00151565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8692798" r:id="rId2"/>
      </w:pict>
    </w:r>
    <w:r w:rsidR="00417690" w:rsidRPr="002F2013">
      <w:rPr>
        <w:sz w:val="32"/>
        <w:lang w:val="sr-Cyrl-CS"/>
      </w:rPr>
      <w:t>КЛИНИЧКИ ЦЕНТАР ВОЈВОДИНЕ</w:t>
    </w:r>
  </w:p>
  <w:p w:rsidR="00417690" w:rsidRPr="002F2013" w:rsidRDefault="00417690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17690" w:rsidRPr="00BA3695" w:rsidRDefault="00417690" w:rsidP="002F2013">
    <w:pPr>
      <w:jc w:val="center"/>
      <w:rPr>
        <w:sz w:val="8"/>
        <w:lang w:val="hr-HR"/>
      </w:rPr>
    </w:pPr>
  </w:p>
  <w:p w:rsidR="00417690" w:rsidRPr="00BA3695" w:rsidRDefault="00417690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17690" w:rsidRPr="00BA3695" w:rsidRDefault="00417690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17690" w:rsidRDefault="0015156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1769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1769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1769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17690" w:rsidRPr="00BA3695" w:rsidRDefault="0015156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58F4"/>
    <w:multiLevelType w:val="hybridMultilevel"/>
    <w:tmpl w:val="ED00D814"/>
    <w:lvl w:ilvl="0" w:tplc="FAE27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094F"/>
    <w:multiLevelType w:val="hybridMultilevel"/>
    <w:tmpl w:val="F7BC876A"/>
    <w:lvl w:ilvl="0" w:tplc="87D80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929F5"/>
    <w:multiLevelType w:val="hybridMultilevel"/>
    <w:tmpl w:val="CA6872B0"/>
    <w:lvl w:ilvl="0" w:tplc="900451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771AA5"/>
    <w:multiLevelType w:val="hybridMultilevel"/>
    <w:tmpl w:val="5884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B13E9"/>
    <w:multiLevelType w:val="hybridMultilevel"/>
    <w:tmpl w:val="87ECD246"/>
    <w:lvl w:ilvl="0" w:tplc="AC34C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C3B8B"/>
    <w:multiLevelType w:val="multilevel"/>
    <w:tmpl w:val="0CFC5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7E6E"/>
    <w:rsid w:val="0006124F"/>
    <w:rsid w:val="000D6BBB"/>
    <w:rsid w:val="0010366B"/>
    <w:rsid w:val="00114D87"/>
    <w:rsid w:val="00125404"/>
    <w:rsid w:val="001413B5"/>
    <w:rsid w:val="00151565"/>
    <w:rsid w:val="001C3202"/>
    <w:rsid w:val="001C3539"/>
    <w:rsid w:val="00210035"/>
    <w:rsid w:val="002341EE"/>
    <w:rsid w:val="002C34F9"/>
    <w:rsid w:val="002E5990"/>
    <w:rsid w:val="002F2013"/>
    <w:rsid w:val="002F2CCD"/>
    <w:rsid w:val="002F3C53"/>
    <w:rsid w:val="00312DED"/>
    <w:rsid w:val="003353B6"/>
    <w:rsid w:val="00363348"/>
    <w:rsid w:val="00387384"/>
    <w:rsid w:val="0039604C"/>
    <w:rsid w:val="003A5051"/>
    <w:rsid w:val="003A6263"/>
    <w:rsid w:val="003B44BE"/>
    <w:rsid w:val="003B6A66"/>
    <w:rsid w:val="003F0E30"/>
    <w:rsid w:val="003F1BCF"/>
    <w:rsid w:val="00410449"/>
    <w:rsid w:val="00417690"/>
    <w:rsid w:val="00430A42"/>
    <w:rsid w:val="004A4EAB"/>
    <w:rsid w:val="004D04E4"/>
    <w:rsid w:val="004D7FA7"/>
    <w:rsid w:val="004F1728"/>
    <w:rsid w:val="004F2BE8"/>
    <w:rsid w:val="00504D02"/>
    <w:rsid w:val="005E5AAE"/>
    <w:rsid w:val="005F1963"/>
    <w:rsid w:val="005F7061"/>
    <w:rsid w:val="005F76A1"/>
    <w:rsid w:val="00603BFE"/>
    <w:rsid w:val="00632229"/>
    <w:rsid w:val="00647299"/>
    <w:rsid w:val="00652B7F"/>
    <w:rsid w:val="00661DA0"/>
    <w:rsid w:val="0066288A"/>
    <w:rsid w:val="0069520E"/>
    <w:rsid w:val="006B5F9F"/>
    <w:rsid w:val="006E0765"/>
    <w:rsid w:val="007008F6"/>
    <w:rsid w:val="00722711"/>
    <w:rsid w:val="007262B3"/>
    <w:rsid w:val="00776BD6"/>
    <w:rsid w:val="007A2B04"/>
    <w:rsid w:val="007A58FB"/>
    <w:rsid w:val="007A6455"/>
    <w:rsid w:val="007B23D8"/>
    <w:rsid w:val="007B7540"/>
    <w:rsid w:val="007B7DB2"/>
    <w:rsid w:val="007E0A67"/>
    <w:rsid w:val="007E51A5"/>
    <w:rsid w:val="00835C92"/>
    <w:rsid w:val="0084453B"/>
    <w:rsid w:val="00846F6F"/>
    <w:rsid w:val="00847410"/>
    <w:rsid w:val="00874F32"/>
    <w:rsid w:val="008C4FA0"/>
    <w:rsid w:val="008D6B30"/>
    <w:rsid w:val="00900BE4"/>
    <w:rsid w:val="00907E1B"/>
    <w:rsid w:val="0092490A"/>
    <w:rsid w:val="009309AB"/>
    <w:rsid w:val="009563A4"/>
    <w:rsid w:val="00963C7E"/>
    <w:rsid w:val="009820D7"/>
    <w:rsid w:val="00986789"/>
    <w:rsid w:val="009B1C98"/>
    <w:rsid w:val="009B42D4"/>
    <w:rsid w:val="009B4791"/>
    <w:rsid w:val="009D7BA7"/>
    <w:rsid w:val="009E17A0"/>
    <w:rsid w:val="009F64F1"/>
    <w:rsid w:val="00A07930"/>
    <w:rsid w:val="00A12C7E"/>
    <w:rsid w:val="00A3036C"/>
    <w:rsid w:val="00A501D7"/>
    <w:rsid w:val="00A63C25"/>
    <w:rsid w:val="00A73084"/>
    <w:rsid w:val="00A74E5F"/>
    <w:rsid w:val="00A769F9"/>
    <w:rsid w:val="00AA1F6A"/>
    <w:rsid w:val="00AD4FEC"/>
    <w:rsid w:val="00AD71E6"/>
    <w:rsid w:val="00B218AC"/>
    <w:rsid w:val="00B301AC"/>
    <w:rsid w:val="00B40C66"/>
    <w:rsid w:val="00B41DCF"/>
    <w:rsid w:val="00B43005"/>
    <w:rsid w:val="00B8155D"/>
    <w:rsid w:val="00B9598C"/>
    <w:rsid w:val="00BB37E4"/>
    <w:rsid w:val="00BB6B46"/>
    <w:rsid w:val="00BD7006"/>
    <w:rsid w:val="00BE0CA6"/>
    <w:rsid w:val="00BE671D"/>
    <w:rsid w:val="00BF0E57"/>
    <w:rsid w:val="00C135DD"/>
    <w:rsid w:val="00C1600E"/>
    <w:rsid w:val="00C1795F"/>
    <w:rsid w:val="00C30EA6"/>
    <w:rsid w:val="00C5492D"/>
    <w:rsid w:val="00C80D18"/>
    <w:rsid w:val="00C82300"/>
    <w:rsid w:val="00C91DC4"/>
    <w:rsid w:val="00C95FDA"/>
    <w:rsid w:val="00CA58C2"/>
    <w:rsid w:val="00CB60C3"/>
    <w:rsid w:val="00CD77D4"/>
    <w:rsid w:val="00D026F9"/>
    <w:rsid w:val="00D306CC"/>
    <w:rsid w:val="00D41888"/>
    <w:rsid w:val="00D6094B"/>
    <w:rsid w:val="00D671D6"/>
    <w:rsid w:val="00D748E3"/>
    <w:rsid w:val="00D76210"/>
    <w:rsid w:val="00DB36E9"/>
    <w:rsid w:val="00DC24A0"/>
    <w:rsid w:val="00E32ADD"/>
    <w:rsid w:val="00E35B18"/>
    <w:rsid w:val="00E37D8A"/>
    <w:rsid w:val="00E60E38"/>
    <w:rsid w:val="00ED257E"/>
    <w:rsid w:val="00EE12B4"/>
    <w:rsid w:val="00EF0052"/>
    <w:rsid w:val="00F16237"/>
    <w:rsid w:val="00F2011E"/>
    <w:rsid w:val="00F37553"/>
    <w:rsid w:val="00F429F2"/>
    <w:rsid w:val="00F56880"/>
    <w:rsid w:val="00F878DE"/>
    <w:rsid w:val="00F91DF4"/>
    <w:rsid w:val="00FA2E7C"/>
    <w:rsid w:val="00FA35BB"/>
    <w:rsid w:val="00FF1283"/>
    <w:rsid w:val="00FF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6455"/>
  </w:style>
  <w:style w:type="character" w:styleId="Emphasis">
    <w:name w:val="Emphasis"/>
    <w:basedOn w:val="DefaultParagraphFont"/>
    <w:uiPriority w:val="20"/>
    <w:qFormat/>
    <w:rsid w:val="007A6455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76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769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62</cp:revision>
  <dcterms:created xsi:type="dcterms:W3CDTF">2013-04-12T07:18:00Z</dcterms:created>
  <dcterms:modified xsi:type="dcterms:W3CDTF">2014-11-28T14:10:00Z</dcterms:modified>
</cp:coreProperties>
</file>