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78933769"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bookmarkStart w:id="3" w:name="_Toc401059590"/>
            <w:bookmarkStart w:id="4" w:name="_Toc404939258"/>
            <w:r w:rsidRPr="00F54C6F">
              <w:rPr>
                <w:sz w:val="32"/>
                <w:lang w:val="sr-Cyrl-CS"/>
              </w:rPr>
              <w:t>КЛИНИЧКИ ЦЕНТАР ВОЈВОДИНЕ</w:t>
            </w:r>
            <w:bookmarkEnd w:id="0"/>
            <w:bookmarkEnd w:id="1"/>
            <w:bookmarkEnd w:id="2"/>
            <w:bookmarkEnd w:id="3"/>
            <w:bookmarkEnd w:id="4"/>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2C1DE6" w:rsidP="002D5B2C">
      <w:pPr>
        <w:pStyle w:val="Footer"/>
        <w:jc w:val="center"/>
        <w:rPr>
          <w:b/>
        </w:rPr>
      </w:pPr>
      <w:r w:rsidRPr="002C1DE6">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C4081A">
        <w:rPr>
          <w:b/>
          <w:noProof/>
        </w:rPr>
        <w:t>2</w:t>
      </w:r>
      <w:r w:rsidR="00D376E0">
        <w:rPr>
          <w:b/>
          <w:noProof/>
        </w:rPr>
        <w:t>53</w:t>
      </w:r>
      <w:r w:rsidR="00985CF2">
        <w:rPr>
          <w:b/>
          <w:noProof/>
        </w:rPr>
        <w:t>-14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E071AC">
        <w:rPr>
          <w:b/>
          <w:noProof/>
          <w:lang w:val="sr-Cyrl-RS"/>
        </w:rPr>
        <w:t xml:space="preserve">децембар </w:t>
      </w:r>
      <w:r w:rsidR="00A3241B">
        <w:rPr>
          <w:b/>
          <w:noProof/>
        </w:rPr>
        <w:t>2014</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D376E0">
        <w:rPr>
          <w:b/>
          <w:noProof/>
        </w:rPr>
        <w:t>2</w:t>
      </w:r>
      <w:r w:rsidR="00D376E0">
        <w:rPr>
          <w:b/>
          <w:noProof/>
          <w:lang w:val="sr-Cyrl-RS"/>
        </w:rPr>
        <w:t>53</w:t>
      </w:r>
      <w:r w:rsidR="00985CF2">
        <w:rPr>
          <w:b/>
          <w:noProof/>
        </w:rPr>
        <w:t>-14</w:t>
      </w:r>
      <w:r w:rsidR="00F9313D" w:rsidRPr="00F54C6F">
        <w:rPr>
          <w:b/>
          <w:noProof/>
        </w:rPr>
        <w:t>-О</w:t>
      </w:r>
      <w:r w:rsidR="00150683" w:rsidRPr="00F54C6F">
        <w:rPr>
          <w:b/>
          <w:noProof/>
        </w:rPr>
        <w:t xml:space="preserve"> - </w:t>
      </w:r>
      <w:r w:rsidR="002C1DE6" w:rsidRPr="002C1DE6">
        <w:rPr>
          <w:b/>
          <w:noProof/>
        </w:rPr>
        <w:t>Набавка ендопротеза кука за потребе Клинике за ортопедску хирургију и трауматологију, у оквиру Клиничког центра Војводине</w:t>
      </w:r>
    </w:p>
    <w:bookmarkEnd w:id="5"/>
    <w:bookmarkEnd w:id="6"/>
    <w:bookmarkEnd w:id="7"/>
    <w:bookmarkEnd w:id="8"/>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994022144"/>
        <w:docPartObj>
          <w:docPartGallery w:val="Table of Contents"/>
          <w:docPartUnique/>
        </w:docPartObj>
      </w:sdtPr>
      <w:sdtEndPr>
        <w:rPr>
          <w:noProof/>
        </w:rPr>
      </w:sdtEndPr>
      <w:sdtContent>
        <w:p w:rsidR="008875A5" w:rsidRDefault="008875A5">
          <w:pPr>
            <w:pStyle w:val="TOCHeading"/>
          </w:pPr>
        </w:p>
        <w:p w:rsidR="008875A5" w:rsidRDefault="008875A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4939258" w:history="1">
            <w:r w:rsidRPr="00CF5DB0">
              <w:rPr>
                <w:rStyle w:val="Hyperlink"/>
              </w:rPr>
              <w:t>КЛИНИЧКИ ЦЕНТАР ВОЈВОДИНЕ</w:t>
            </w:r>
            <w:r>
              <w:rPr>
                <w:webHidden/>
              </w:rPr>
              <w:tab/>
            </w:r>
            <w:r>
              <w:rPr>
                <w:webHidden/>
              </w:rPr>
              <w:fldChar w:fldCharType="begin"/>
            </w:r>
            <w:r>
              <w:rPr>
                <w:webHidden/>
              </w:rPr>
              <w:instrText xml:space="preserve"> PAGEREF _Toc404939258 \h </w:instrText>
            </w:r>
            <w:r>
              <w:rPr>
                <w:webHidden/>
              </w:rPr>
            </w:r>
            <w:r>
              <w:rPr>
                <w:webHidden/>
              </w:rPr>
              <w:fldChar w:fldCharType="separate"/>
            </w:r>
            <w:r w:rsidR="001844D4">
              <w:rPr>
                <w:webHidden/>
              </w:rPr>
              <w:t>1</w:t>
            </w:r>
            <w:r>
              <w:rPr>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59" w:history="1">
            <w:r w:rsidR="008875A5" w:rsidRPr="00CF5DB0">
              <w:rPr>
                <w:rStyle w:val="Hyperlink"/>
                <w:noProof/>
              </w:rPr>
              <w:t>1.</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ОПШТИ ПОДАЦИ О НАБАВЦИ</w:t>
            </w:r>
            <w:r w:rsidR="008875A5">
              <w:rPr>
                <w:noProof/>
                <w:webHidden/>
              </w:rPr>
              <w:tab/>
            </w:r>
            <w:r w:rsidR="008875A5">
              <w:rPr>
                <w:noProof/>
                <w:webHidden/>
              </w:rPr>
              <w:fldChar w:fldCharType="begin"/>
            </w:r>
            <w:r w:rsidR="008875A5">
              <w:rPr>
                <w:noProof/>
                <w:webHidden/>
              </w:rPr>
              <w:instrText xml:space="preserve"> PAGEREF _Toc404939259 \h </w:instrText>
            </w:r>
            <w:r w:rsidR="008875A5">
              <w:rPr>
                <w:noProof/>
                <w:webHidden/>
              </w:rPr>
            </w:r>
            <w:r w:rsidR="008875A5">
              <w:rPr>
                <w:noProof/>
                <w:webHidden/>
              </w:rPr>
              <w:fldChar w:fldCharType="separate"/>
            </w:r>
            <w:r>
              <w:rPr>
                <w:noProof/>
                <w:webHidden/>
              </w:rPr>
              <w:t>3</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0" w:history="1">
            <w:r w:rsidR="008875A5" w:rsidRPr="00CF5DB0">
              <w:rPr>
                <w:rStyle w:val="Hyperlink"/>
                <w:noProof/>
                <w:lang w:val="sl-SI"/>
              </w:rPr>
              <w:t>2.</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ПОДАЦИ О ПРЕДМЕТУ ЈАВНЕ НАБАВКЕ</w:t>
            </w:r>
            <w:r w:rsidR="008875A5">
              <w:rPr>
                <w:noProof/>
                <w:webHidden/>
              </w:rPr>
              <w:tab/>
            </w:r>
            <w:r w:rsidR="008875A5">
              <w:rPr>
                <w:noProof/>
                <w:webHidden/>
              </w:rPr>
              <w:fldChar w:fldCharType="begin"/>
            </w:r>
            <w:r w:rsidR="008875A5">
              <w:rPr>
                <w:noProof/>
                <w:webHidden/>
              </w:rPr>
              <w:instrText xml:space="preserve"> PAGEREF _Toc404939260 \h </w:instrText>
            </w:r>
            <w:r w:rsidR="008875A5">
              <w:rPr>
                <w:noProof/>
                <w:webHidden/>
              </w:rPr>
            </w:r>
            <w:r w:rsidR="008875A5">
              <w:rPr>
                <w:noProof/>
                <w:webHidden/>
              </w:rPr>
              <w:fldChar w:fldCharType="separate"/>
            </w:r>
            <w:r>
              <w:rPr>
                <w:noProof/>
                <w:webHidden/>
              </w:rPr>
              <w:t>4</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1" w:history="1">
            <w:r w:rsidR="008875A5" w:rsidRPr="00CF5DB0">
              <w:rPr>
                <w:rStyle w:val="Hyperlink"/>
                <w:noProof/>
              </w:rPr>
              <w:t>4.</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 xml:space="preserve">ТЕХНИЧКА ДОКУМЕНТАЦИЈА </w:t>
            </w:r>
            <w:r w:rsidR="008875A5" w:rsidRPr="00CF5DB0">
              <w:rPr>
                <w:rStyle w:val="Hyperlink"/>
                <w:bCs/>
                <w:iCs/>
                <w:noProof/>
              </w:rPr>
              <w:t>ПРЕДМЕТА ЈАВНЕ НАБАВКЕ</w:t>
            </w:r>
            <w:r w:rsidR="008875A5">
              <w:rPr>
                <w:noProof/>
                <w:webHidden/>
              </w:rPr>
              <w:tab/>
            </w:r>
            <w:r w:rsidR="008875A5">
              <w:rPr>
                <w:noProof/>
                <w:webHidden/>
              </w:rPr>
              <w:fldChar w:fldCharType="begin"/>
            </w:r>
            <w:r w:rsidR="008875A5">
              <w:rPr>
                <w:noProof/>
                <w:webHidden/>
              </w:rPr>
              <w:instrText xml:space="preserve"> PAGEREF _Toc404939261 \h </w:instrText>
            </w:r>
            <w:r w:rsidR="008875A5">
              <w:rPr>
                <w:noProof/>
                <w:webHidden/>
              </w:rPr>
            </w:r>
            <w:r w:rsidR="008875A5">
              <w:rPr>
                <w:noProof/>
                <w:webHidden/>
              </w:rPr>
              <w:fldChar w:fldCharType="separate"/>
            </w:r>
            <w:r>
              <w:rPr>
                <w:noProof/>
                <w:webHidden/>
              </w:rPr>
              <w:t>6</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2" w:history="1">
            <w:r w:rsidR="008875A5" w:rsidRPr="00CF5DB0">
              <w:rPr>
                <w:rStyle w:val="Hyperlink"/>
                <w:noProof/>
              </w:rPr>
              <w:t>5.</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УСЛОВИ ЗА УЧЕШЋЕ У ПОСТУПКУ ЈАВНЕ НАБАВКЕ ИЗ ЧЛ. 75. И 76. ЗАКОНА И УПУТСТВО КАКО СЕ ДОКАЗУЈЕ ИСПУЊЕНОСТ ТИХ УСЛОВА</w:t>
            </w:r>
            <w:r w:rsidR="008875A5">
              <w:rPr>
                <w:noProof/>
                <w:webHidden/>
              </w:rPr>
              <w:tab/>
            </w:r>
            <w:r w:rsidR="008875A5">
              <w:rPr>
                <w:noProof/>
                <w:webHidden/>
              </w:rPr>
              <w:fldChar w:fldCharType="begin"/>
            </w:r>
            <w:r w:rsidR="008875A5">
              <w:rPr>
                <w:noProof/>
                <w:webHidden/>
              </w:rPr>
              <w:instrText xml:space="preserve"> PAGEREF _Toc404939262 \h </w:instrText>
            </w:r>
            <w:r w:rsidR="008875A5">
              <w:rPr>
                <w:noProof/>
                <w:webHidden/>
              </w:rPr>
            </w:r>
            <w:r w:rsidR="008875A5">
              <w:rPr>
                <w:noProof/>
                <w:webHidden/>
              </w:rPr>
              <w:fldChar w:fldCharType="separate"/>
            </w:r>
            <w:r>
              <w:rPr>
                <w:noProof/>
                <w:webHidden/>
              </w:rPr>
              <w:t>7</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3" w:history="1">
            <w:r w:rsidR="008875A5" w:rsidRPr="00CF5DB0">
              <w:rPr>
                <w:rStyle w:val="Hyperlink"/>
                <w:noProof/>
              </w:rPr>
              <w:t>6.</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УПУТСТВО ПОНУЂАЧИМА КАКО ДА САЧИНЕ ПОНУДУ</w:t>
            </w:r>
            <w:r w:rsidR="008875A5">
              <w:rPr>
                <w:noProof/>
                <w:webHidden/>
              </w:rPr>
              <w:tab/>
            </w:r>
            <w:r w:rsidR="008875A5">
              <w:rPr>
                <w:noProof/>
                <w:webHidden/>
              </w:rPr>
              <w:fldChar w:fldCharType="begin"/>
            </w:r>
            <w:r w:rsidR="008875A5">
              <w:rPr>
                <w:noProof/>
                <w:webHidden/>
              </w:rPr>
              <w:instrText xml:space="preserve"> PAGEREF _Toc404939263 \h </w:instrText>
            </w:r>
            <w:r w:rsidR="008875A5">
              <w:rPr>
                <w:noProof/>
                <w:webHidden/>
              </w:rPr>
            </w:r>
            <w:r w:rsidR="008875A5">
              <w:rPr>
                <w:noProof/>
                <w:webHidden/>
              </w:rPr>
              <w:fldChar w:fldCharType="separate"/>
            </w:r>
            <w:r>
              <w:rPr>
                <w:noProof/>
                <w:webHidden/>
              </w:rPr>
              <w:t>11</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4" w:history="1">
            <w:r w:rsidR="008875A5" w:rsidRPr="00CF5DB0">
              <w:rPr>
                <w:rStyle w:val="Hyperlink"/>
                <w:noProof/>
              </w:rPr>
              <w:t>7.</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РАЗРАДА КРИТЕРИЈУМА</w:t>
            </w:r>
            <w:r w:rsidR="008875A5">
              <w:rPr>
                <w:noProof/>
                <w:webHidden/>
              </w:rPr>
              <w:tab/>
            </w:r>
            <w:r w:rsidR="008875A5">
              <w:rPr>
                <w:noProof/>
                <w:webHidden/>
              </w:rPr>
              <w:fldChar w:fldCharType="begin"/>
            </w:r>
            <w:r w:rsidR="008875A5">
              <w:rPr>
                <w:noProof/>
                <w:webHidden/>
              </w:rPr>
              <w:instrText xml:space="preserve"> PAGEREF _Toc404939264 \h </w:instrText>
            </w:r>
            <w:r w:rsidR="008875A5">
              <w:rPr>
                <w:noProof/>
                <w:webHidden/>
              </w:rPr>
            </w:r>
            <w:r w:rsidR="008875A5">
              <w:rPr>
                <w:noProof/>
                <w:webHidden/>
              </w:rPr>
              <w:fldChar w:fldCharType="separate"/>
            </w:r>
            <w:r>
              <w:rPr>
                <w:noProof/>
                <w:webHidden/>
              </w:rPr>
              <w:t>20</w:t>
            </w:r>
            <w:r w:rsidR="008875A5">
              <w:rPr>
                <w:noProof/>
                <w:webHidden/>
              </w:rPr>
              <w:fldChar w:fldCharType="end"/>
            </w:r>
          </w:hyperlink>
        </w:p>
        <w:p w:rsidR="008875A5" w:rsidRDefault="001844D4">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404939265" w:history="1">
            <w:r w:rsidR="008875A5" w:rsidRPr="00CF5DB0">
              <w:rPr>
                <w:rStyle w:val="Hyperlink"/>
                <w:noProof/>
              </w:rPr>
              <w:t>8.</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МОДЕЛ УГОВОРА</w:t>
            </w:r>
            <w:r w:rsidR="008875A5">
              <w:rPr>
                <w:noProof/>
                <w:webHidden/>
              </w:rPr>
              <w:tab/>
            </w:r>
            <w:r w:rsidR="008875A5">
              <w:rPr>
                <w:noProof/>
                <w:webHidden/>
              </w:rPr>
              <w:fldChar w:fldCharType="begin"/>
            </w:r>
            <w:r w:rsidR="008875A5">
              <w:rPr>
                <w:noProof/>
                <w:webHidden/>
              </w:rPr>
              <w:instrText xml:space="preserve"> PAGEREF _Toc404939265 \h </w:instrText>
            </w:r>
            <w:r w:rsidR="008875A5">
              <w:rPr>
                <w:noProof/>
                <w:webHidden/>
              </w:rPr>
            </w:r>
            <w:r w:rsidR="008875A5">
              <w:rPr>
                <w:noProof/>
                <w:webHidden/>
              </w:rPr>
              <w:fldChar w:fldCharType="separate"/>
            </w:r>
            <w:r>
              <w:rPr>
                <w:noProof/>
                <w:webHidden/>
              </w:rPr>
              <w:t>21</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2" w:history="1">
            <w:r w:rsidR="008875A5" w:rsidRPr="00CF5DB0">
              <w:rPr>
                <w:rStyle w:val="Hyperlink"/>
                <w:noProof/>
              </w:rPr>
              <w:t>10.</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ОБРАЗАЦ ИЗЈАВЕ О ПОШТОВАЊУ ОБАВЕЗА</w:t>
            </w:r>
            <w:r w:rsidR="008875A5">
              <w:rPr>
                <w:noProof/>
                <w:webHidden/>
              </w:rPr>
              <w:tab/>
            </w:r>
            <w:r w:rsidR="008875A5">
              <w:rPr>
                <w:noProof/>
                <w:webHidden/>
              </w:rPr>
              <w:fldChar w:fldCharType="begin"/>
            </w:r>
            <w:r w:rsidR="008875A5">
              <w:rPr>
                <w:noProof/>
                <w:webHidden/>
              </w:rPr>
              <w:instrText xml:space="preserve"> PAGEREF _Toc404939282 \h </w:instrText>
            </w:r>
            <w:r w:rsidR="008875A5">
              <w:rPr>
                <w:noProof/>
                <w:webHidden/>
              </w:rPr>
            </w:r>
            <w:r w:rsidR="008875A5">
              <w:rPr>
                <w:noProof/>
                <w:webHidden/>
              </w:rPr>
              <w:fldChar w:fldCharType="separate"/>
            </w:r>
            <w:r>
              <w:rPr>
                <w:noProof/>
                <w:webHidden/>
              </w:rPr>
              <w:t>26</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3" w:history="1">
            <w:r w:rsidR="008875A5" w:rsidRPr="00CF5DB0">
              <w:rPr>
                <w:rStyle w:val="Hyperlink"/>
                <w:noProof/>
              </w:rPr>
              <w:t>11.</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ОБРАЗАЦ СТРУКТУРЕ ПОНУЂЕНЕ ЦЕНЕ</w:t>
            </w:r>
            <w:r w:rsidR="008875A5">
              <w:rPr>
                <w:noProof/>
                <w:webHidden/>
              </w:rPr>
              <w:tab/>
            </w:r>
            <w:r w:rsidR="008875A5">
              <w:rPr>
                <w:noProof/>
                <w:webHidden/>
              </w:rPr>
              <w:fldChar w:fldCharType="begin"/>
            </w:r>
            <w:r w:rsidR="008875A5">
              <w:rPr>
                <w:noProof/>
                <w:webHidden/>
              </w:rPr>
              <w:instrText xml:space="preserve"> PAGEREF _Toc404939283 \h </w:instrText>
            </w:r>
            <w:r w:rsidR="008875A5">
              <w:rPr>
                <w:noProof/>
                <w:webHidden/>
              </w:rPr>
            </w:r>
            <w:r w:rsidR="008875A5">
              <w:rPr>
                <w:noProof/>
                <w:webHidden/>
              </w:rPr>
              <w:fldChar w:fldCharType="separate"/>
            </w:r>
            <w:r>
              <w:rPr>
                <w:noProof/>
                <w:webHidden/>
              </w:rPr>
              <w:t>27</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4" w:history="1">
            <w:r w:rsidR="008875A5" w:rsidRPr="00CF5DB0">
              <w:rPr>
                <w:rStyle w:val="Hyperlink"/>
                <w:noProof/>
              </w:rPr>
              <w:t>12.</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ОБРАЗАЦ ТРОШКОВА ПРИПРЕМЕ ПОНУДЕ</w:t>
            </w:r>
            <w:r w:rsidR="008875A5">
              <w:rPr>
                <w:noProof/>
                <w:webHidden/>
              </w:rPr>
              <w:tab/>
            </w:r>
            <w:r w:rsidR="008875A5">
              <w:rPr>
                <w:noProof/>
                <w:webHidden/>
              </w:rPr>
              <w:fldChar w:fldCharType="begin"/>
            </w:r>
            <w:r w:rsidR="008875A5">
              <w:rPr>
                <w:noProof/>
                <w:webHidden/>
              </w:rPr>
              <w:instrText xml:space="preserve"> PAGEREF _Toc404939284 \h </w:instrText>
            </w:r>
            <w:r w:rsidR="008875A5">
              <w:rPr>
                <w:noProof/>
                <w:webHidden/>
              </w:rPr>
            </w:r>
            <w:r w:rsidR="008875A5">
              <w:rPr>
                <w:noProof/>
                <w:webHidden/>
              </w:rPr>
              <w:fldChar w:fldCharType="separate"/>
            </w:r>
            <w:r>
              <w:rPr>
                <w:noProof/>
                <w:webHidden/>
              </w:rPr>
              <w:t>28</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5" w:history="1">
            <w:r w:rsidR="008875A5" w:rsidRPr="00CF5DB0">
              <w:rPr>
                <w:rStyle w:val="Hyperlink"/>
                <w:iCs/>
                <w:noProof/>
              </w:rPr>
              <w:t>13.</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ОБРАЗАЦ ЗА УНОШЕЊЕ ПОДАТАКА ИЗ ПОНУДЕ КОЈИ СУ ОДРЕЂЕНИ КАО ЕЛЕМЕНТИ КРИТЕРИЈУМА</w:t>
            </w:r>
            <w:r w:rsidR="008875A5">
              <w:rPr>
                <w:noProof/>
                <w:webHidden/>
              </w:rPr>
              <w:tab/>
            </w:r>
            <w:r w:rsidR="008875A5">
              <w:rPr>
                <w:noProof/>
                <w:webHidden/>
              </w:rPr>
              <w:fldChar w:fldCharType="begin"/>
            </w:r>
            <w:r w:rsidR="008875A5">
              <w:rPr>
                <w:noProof/>
                <w:webHidden/>
              </w:rPr>
              <w:instrText xml:space="preserve"> PAGEREF _Toc404939285 \h </w:instrText>
            </w:r>
            <w:r w:rsidR="008875A5">
              <w:rPr>
                <w:noProof/>
                <w:webHidden/>
              </w:rPr>
            </w:r>
            <w:r w:rsidR="008875A5">
              <w:rPr>
                <w:noProof/>
                <w:webHidden/>
              </w:rPr>
              <w:fldChar w:fldCharType="separate"/>
            </w:r>
            <w:r>
              <w:rPr>
                <w:noProof/>
                <w:webHidden/>
              </w:rPr>
              <w:t>29</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6" w:history="1">
            <w:r w:rsidR="008875A5" w:rsidRPr="00CF5DB0">
              <w:rPr>
                <w:rStyle w:val="Hyperlink"/>
                <w:noProof/>
              </w:rPr>
              <w:t>14.</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ОБРАЗАЦ ПОНУДЕ</w:t>
            </w:r>
            <w:r w:rsidR="008875A5">
              <w:rPr>
                <w:noProof/>
                <w:webHidden/>
              </w:rPr>
              <w:tab/>
            </w:r>
            <w:r w:rsidR="008875A5">
              <w:rPr>
                <w:noProof/>
                <w:webHidden/>
              </w:rPr>
              <w:fldChar w:fldCharType="begin"/>
            </w:r>
            <w:r w:rsidR="008875A5">
              <w:rPr>
                <w:noProof/>
                <w:webHidden/>
              </w:rPr>
              <w:instrText xml:space="preserve"> PAGEREF _Toc404939286 \h </w:instrText>
            </w:r>
            <w:r w:rsidR="008875A5">
              <w:rPr>
                <w:noProof/>
                <w:webHidden/>
              </w:rPr>
            </w:r>
            <w:r w:rsidR="008875A5">
              <w:rPr>
                <w:noProof/>
                <w:webHidden/>
              </w:rPr>
              <w:fldChar w:fldCharType="separate"/>
            </w:r>
            <w:r>
              <w:rPr>
                <w:noProof/>
                <w:webHidden/>
              </w:rPr>
              <w:t>30</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7" w:history="1">
            <w:r w:rsidR="008875A5" w:rsidRPr="00CF5DB0">
              <w:rPr>
                <w:rStyle w:val="Hyperlink"/>
                <w:noProof/>
              </w:rPr>
              <w:t>15.</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ОПШТИ ПОДАЦИ О ПОНУЂАЧУ ИЗ ГРУПЕ ПОНУЂАЧА</w:t>
            </w:r>
            <w:r w:rsidR="008875A5">
              <w:rPr>
                <w:noProof/>
                <w:webHidden/>
              </w:rPr>
              <w:tab/>
            </w:r>
            <w:r w:rsidR="008875A5">
              <w:rPr>
                <w:noProof/>
                <w:webHidden/>
              </w:rPr>
              <w:fldChar w:fldCharType="begin"/>
            </w:r>
            <w:r w:rsidR="008875A5">
              <w:rPr>
                <w:noProof/>
                <w:webHidden/>
              </w:rPr>
              <w:instrText xml:space="preserve"> PAGEREF _Toc404939287 \h </w:instrText>
            </w:r>
            <w:r w:rsidR="008875A5">
              <w:rPr>
                <w:noProof/>
                <w:webHidden/>
              </w:rPr>
            </w:r>
            <w:r w:rsidR="008875A5">
              <w:rPr>
                <w:noProof/>
                <w:webHidden/>
              </w:rPr>
              <w:fldChar w:fldCharType="separate"/>
            </w:r>
            <w:r>
              <w:rPr>
                <w:noProof/>
                <w:webHidden/>
              </w:rPr>
              <w:t>34</w:t>
            </w:r>
            <w:r w:rsidR="008875A5">
              <w:rPr>
                <w:noProof/>
                <w:webHidden/>
              </w:rPr>
              <w:fldChar w:fldCharType="end"/>
            </w:r>
          </w:hyperlink>
        </w:p>
        <w:p w:rsidR="008875A5" w:rsidRDefault="001844D4">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404939288" w:history="1">
            <w:r w:rsidR="008875A5" w:rsidRPr="00CF5DB0">
              <w:rPr>
                <w:rStyle w:val="Hyperlink"/>
                <w:noProof/>
              </w:rPr>
              <w:t>16.</w:t>
            </w:r>
            <w:r w:rsidR="008875A5">
              <w:rPr>
                <w:rFonts w:asciiTheme="minorHAnsi" w:eastAsiaTheme="minorEastAsia" w:hAnsiTheme="minorHAnsi" w:cstheme="minorBidi"/>
                <w:noProof/>
                <w:sz w:val="22"/>
                <w:szCs w:val="22"/>
                <w:lang w:val="sr-Latn-RS" w:eastAsia="sr-Latn-RS"/>
              </w:rPr>
              <w:tab/>
            </w:r>
            <w:r w:rsidR="008875A5" w:rsidRPr="00CF5DB0">
              <w:rPr>
                <w:rStyle w:val="Hyperlink"/>
                <w:noProof/>
              </w:rPr>
              <w:t>ОПШТИ ПОДАЦИ О ПОДИЗВОЂАЧИМА</w:t>
            </w:r>
            <w:r w:rsidR="008875A5">
              <w:rPr>
                <w:noProof/>
                <w:webHidden/>
              </w:rPr>
              <w:tab/>
            </w:r>
            <w:r w:rsidR="008875A5">
              <w:rPr>
                <w:noProof/>
                <w:webHidden/>
              </w:rPr>
              <w:fldChar w:fldCharType="begin"/>
            </w:r>
            <w:r w:rsidR="008875A5">
              <w:rPr>
                <w:noProof/>
                <w:webHidden/>
              </w:rPr>
              <w:instrText xml:space="preserve"> PAGEREF _Toc404939288 \h </w:instrText>
            </w:r>
            <w:r w:rsidR="008875A5">
              <w:rPr>
                <w:noProof/>
                <w:webHidden/>
              </w:rPr>
            </w:r>
            <w:r w:rsidR="008875A5">
              <w:rPr>
                <w:noProof/>
                <w:webHidden/>
              </w:rPr>
              <w:fldChar w:fldCharType="separate"/>
            </w:r>
            <w:r>
              <w:rPr>
                <w:noProof/>
                <w:webHidden/>
              </w:rPr>
              <w:t>35</w:t>
            </w:r>
            <w:r w:rsidR="008875A5">
              <w:rPr>
                <w:noProof/>
                <w:webHidden/>
              </w:rPr>
              <w:fldChar w:fldCharType="end"/>
            </w:r>
          </w:hyperlink>
        </w:p>
        <w:p w:rsidR="008875A5" w:rsidRDefault="008875A5">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9" w:name="_Toc354658139"/>
      <w:bookmarkStart w:id="10" w:name="_Toc354658271"/>
      <w:bookmarkStart w:id="11" w:name="_Toc354658305"/>
      <w:bookmarkStart w:id="12" w:name="_Toc354658399"/>
      <w:bookmarkStart w:id="13" w:name="_Toc362872628"/>
      <w:bookmarkStart w:id="14" w:name="_Toc375898248"/>
      <w:bookmarkStart w:id="15" w:name="_Toc375905370"/>
      <w:bookmarkStart w:id="16" w:name="_Toc398110350"/>
      <w:bookmarkStart w:id="17" w:name="_Toc401059591"/>
      <w:bookmarkStart w:id="18" w:name="_Toc404939259"/>
      <w:r w:rsidRPr="00F54C6F">
        <w:rPr>
          <w:noProof/>
        </w:rPr>
        <w:lastRenderedPageBreak/>
        <w:t>ОПШТИ ПОДАЦИ О НАБАВЦИ</w:t>
      </w:r>
      <w:bookmarkEnd w:id="9"/>
      <w:bookmarkEnd w:id="10"/>
      <w:bookmarkEnd w:id="11"/>
      <w:bookmarkEnd w:id="12"/>
      <w:bookmarkEnd w:id="13"/>
      <w:bookmarkEnd w:id="14"/>
      <w:bookmarkEnd w:id="15"/>
      <w:bookmarkEnd w:id="16"/>
      <w:bookmarkEnd w:id="17"/>
      <w:bookmarkEnd w:id="18"/>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D376E0">
              <w:t>253-14-O</w:t>
            </w:r>
            <w:r w:rsidRPr="00F54C6F">
              <w:rPr>
                <w:i/>
                <w:iCs/>
              </w:rPr>
              <w:t xml:space="preserve"> </w:t>
            </w:r>
            <w:r w:rsidR="00FD3521" w:rsidRPr="00F54C6F">
              <w:t xml:space="preserve">је </w:t>
            </w:r>
            <w:r w:rsidR="00A2637C">
              <w:rPr>
                <w:noProof/>
              </w:rPr>
              <w:t>набавка ендопротеза кука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19" w:name="_Toc362872629"/>
      <w:bookmarkStart w:id="20" w:name="_Toc375898249"/>
      <w:bookmarkStart w:id="21" w:name="_Toc375905371"/>
      <w:bookmarkStart w:id="22" w:name="_Toc398110351"/>
      <w:bookmarkStart w:id="23" w:name="_Toc401059592"/>
      <w:bookmarkStart w:id="24" w:name="_Toc404939260"/>
      <w:r w:rsidRPr="00F54C6F">
        <w:rPr>
          <w:noProof/>
        </w:rPr>
        <w:lastRenderedPageBreak/>
        <w:t>ПОДАЦИ О ПРЕДМЕТУ ЈАВНЕ НАБАВК</w:t>
      </w:r>
      <w:r w:rsidR="00AD0C56" w:rsidRPr="00F54C6F">
        <w:rPr>
          <w:noProof/>
        </w:rPr>
        <w:t>Е</w:t>
      </w:r>
      <w:bookmarkEnd w:id="19"/>
      <w:bookmarkEnd w:id="20"/>
      <w:bookmarkEnd w:id="21"/>
      <w:bookmarkEnd w:id="22"/>
      <w:bookmarkEnd w:id="23"/>
      <w:bookmarkEnd w:id="24"/>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25" w:name="_Toc362872630"/>
    </w:p>
    <w:tbl>
      <w:tblPr>
        <w:tblStyle w:val="TableGrid"/>
        <w:tblW w:w="0" w:type="auto"/>
        <w:tblLook w:val="04A0" w:firstRow="1" w:lastRow="0" w:firstColumn="1" w:lastColumn="0" w:noHBand="0" w:noVBand="1"/>
      </w:tblPr>
      <w:tblGrid>
        <w:gridCol w:w="2047"/>
        <w:gridCol w:w="7099"/>
      </w:tblGrid>
      <w:tr w:rsidR="00D376E0" w:rsidRPr="00413971" w:rsidTr="00D376E0">
        <w:trPr>
          <w:trHeight w:val="225"/>
        </w:trPr>
        <w:tc>
          <w:tcPr>
            <w:tcW w:w="2047" w:type="dxa"/>
          </w:tcPr>
          <w:p w:rsidR="00D376E0" w:rsidRPr="00413971" w:rsidRDefault="00D376E0" w:rsidP="00D376E0">
            <w:pPr>
              <w:jc w:val="center"/>
            </w:pPr>
            <w:r w:rsidRPr="00413971">
              <w:t>Партија</w:t>
            </w:r>
          </w:p>
        </w:tc>
        <w:tc>
          <w:tcPr>
            <w:tcW w:w="7099" w:type="dxa"/>
          </w:tcPr>
          <w:p w:rsidR="00D376E0" w:rsidRPr="00413971" w:rsidRDefault="00D376E0" w:rsidP="00985CF2">
            <w:pPr>
              <w:jc w:val="center"/>
            </w:pPr>
            <w:r w:rsidRPr="00413971">
              <w:t>Назив партије</w:t>
            </w:r>
          </w:p>
        </w:tc>
      </w:tr>
      <w:tr w:rsidR="00D376E0" w:rsidTr="00D376E0">
        <w:trPr>
          <w:trHeight w:val="238"/>
        </w:trPr>
        <w:tc>
          <w:tcPr>
            <w:tcW w:w="2047" w:type="dxa"/>
            <w:vAlign w:val="center"/>
          </w:tcPr>
          <w:p w:rsidR="00D376E0" w:rsidRPr="004A03B4" w:rsidRDefault="00D376E0" w:rsidP="00D376E0">
            <w:pPr>
              <w:jc w:val="center"/>
              <w:rPr>
                <w:lang w:val="sr-Cyrl-RS"/>
              </w:rPr>
            </w:pPr>
            <w:r>
              <w:rPr>
                <w:lang w:val="sr-Cyrl-RS"/>
              </w:rPr>
              <w:t>1.</w:t>
            </w:r>
          </w:p>
        </w:tc>
        <w:tc>
          <w:tcPr>
            <w:tcW w:w="7099" w:type="dxa"/>
          </w:tcPr>
          <w:p w:rsidR="00D376E0" w:rsidRPr="008B7785" w:rsidRDefault="00D376E0" w:rsidP="008875A5">
            <w:r w:rsidRPr="008B7785">
              <w:t>Хибридна протеза кука - бесцементни ацетабулум, феморална компонента са коларом</w:t>
            </w:r>
          </w:p>
        </w:tc>
      </w:tr>
      <w:tr w:rsidR="00D376E0" w:rsidTr="00D376E0">
        <w:trPr>
          <w:trHeight w:val="713"/>
        </w:trPr>
        <w:tc>
          <w:tcPr>
            <w:tcW w:w="2047" w:type="dxa"/>
            <w:vAlign w:val="center"/>
          </w:tcPr>
          <w:p w:rsidR="00D376E0" w:rsidRPr="004A03B4" w:rsidRDefault="00D376E0" w:rsidP="00D376E0">
            <w:pPr>
              <w:jc w:val="center"/>
              <w:rPr>
                <w:lang w:val="sr-Cyrl-RS"/>
              </w:rPr>
            </w:pPr>
            <w:r>
              <w:rPr>
                <w:lang w:val="sr-Cyrl-RS"/>
              </w:rPr>
              <w:t>2.</w:t>
            </w:r>
          </w:p>
        </w:tc>
        <w:tc>
          <w:tcPr>
            <w:tcW w:w="7099" w:type="dxa"/>
          </w:tcPr>
          <w:p w:rsidR="00D376E0" w:rsidRDefault="00D376E0" w:rsidP="008875A5">
            <w:r w:rsidRPr="008B7785">
              <w:t>Ревизиона протеза кука цементна</w:t>
            </w:r>
          </w:p>
        </w:tc>
      </w:tr>
    </w:tbl>
    <w:p w:rsidR="00413971" w:rsidRPr="00985CF2" w:rsidRDefault="00413971" w:rsidP="00413971">
      <w:pPr>
        <w:rPr>
          <w:b/>
          <w:noProof/>
          <w:lang w:val="sr-Cyrl-RS"/>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25"/>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051AE1" w:rsidRPr="00D376E0" w:rsidRDefault="00051AE1" w:rsidP="00051AE1">
      <w:pPr>
        <w:tabs>
          <w:tab w:val="left" w:pos="284"/>
        </w:tabs>
        <w:rPr>
          <w:b/>
          <w:bCs/>
          <w:iCs/>
          <w:noProof/>
          <w:u w:val="single"/>
        </w:rPr>
      </w:pPr>
      <w:bookmarkStart w:id="26" w:name="_Toc362872631"/>
      <w:r w:rsidRPr="00D376E0">
        <w:rPr>
          <w:b/>
          <w:bCs/>
          <w:iCs/>
          <w:noProof/>
          <w:u w:val="single"/>
        </w:rPr>
        <w:t xml:space="preserve">Партија </w:t>
      </w:r>
      <w:r w:rsidRPr="00D376E0">
        <w:rPr>
          <w:b/>
          <w:bCs/>
          <w:iCs/>
          <w:noProof/>
          <w:u w:val="single"/>
          <w:lang w:val="sr-Cyrl-RS"/>
        </w:rPr>
        <w:t>1</w:t>
      </w:r>
      <w:r w:rsidRPr="00D376E0">
        <w:rPr>
          <w:b/>
          <w:bCs/>
          <w:iCs/>
          <w:noProof/>
          <w:u w:val="single"/>
        </w:rPr>
        <w:t xml:space="preserve">. Хибридна протеза кука - бесцементни ацетабулум, феморална компонента са коларом </w:t>
      </w:r>
    </w:p>
    <w:p w:rsidR="00051AE1" w:rsidRPr="00D376E0" w:rsidRDefault="00051AE1" w:rsidP="00051AE1">
      <w:pPr>
        <w:tabs>
          <w:tab w:val="left" w:pos="284"/>
        </w:tabs>
        <w:rPr>
          <w:bCs/>
          <w:iCs/>
          <w:noProof/>
        </w:rPr>
      </w:pPr>
    </w:p>
    <w:p w:rsidR="00051AE1" w:rsidRPr="00D376E0" w:rsidRDefault="00051AE1" w:rsidP="00051AE1">
      <w:pPr>
        <w:tabs>
          <w:tab w:val="left" w:pos="284"/>
        </w:tabs>
        <w:rPr>
          <w:bCs/>
          <w:iCs/>
          <w:noProof/>
          <w:u w:val="single"/>
        </w:rPr>
      </w:pPr>
      <w:r w:rsidRPr="00D376E0">
        <w:rPr>
          <w:bCs/>
          <w:iCs/>
          <w:noProof/>
          <w:u w:val="single"/>
        </w:rPr>
        <w:t>Цементни стем са коларом</w:t>
      </w:r>
    </w:p>
    <w:p w:rsidR="00051AE1" w:rsidRPr="00E071AC" w:rsidRDefault="00051AE1" w:rsidP="00051AE1">
      <w:pPr>
        <w:tabs>
          <w:tab w:val="left" w:pos="284"/>
        </w:tabs>
        <w:rPr>
          <w:lang w:val="sr-Cyrl-RS"/>
        </w:rPr>
      </w:pPr>
      <w:r w:rsidRPr="00D376E0">
        <w:rPr>
          <w:bCs/>
          <w:iCs/>
          <w:noProof/>
        </w:rPr>
        <w:t>1.</w:t>
      </w:r>
      <w:r w:rsidRPr="00D376E0">
        <w:rPr>
          <w:bCs/>
          <w:iCs/>
          <w:noProof/>
        </w:rPr>
        <w:tab/>
        <w:t>Материјал</w:t>
      </w:r>
      <w:r w:rsidR="00E071AC">
        <w:rPr>
          <w:bCs/>
          <w:iCs/>
        </w:rPr>
        <w:t xml:space="preserve"> – CoCrMo</w:t>
      </w:r>
    </w:p>
    <w:p w:rsidR="00051AE1" w:rsidRPr="00D376E0" w:rsidRDefault="00051AE1" w:rsidP="00051AE1">
      <w:pPr>
        <w:tabs>
          <w:tab w:val="left" w:pos="284"/>
        </w:tabs>
        <w:rPr>
          <w:bCs/>
          <w:iCs/>
          <w:noProof/>
        </w:rPr>
      </w:pPr>
      <w:r w:rsidRPr="00D376E0">
        <w:rPr>
          <w:bCs/>
          <w:iCs/>
          <w:noProof/>
        </w:rPr>
        <w:t>2.</w:t>
      </w:r>
      <w:r w:rsidRPr="00D376E0">
        <w:rPr>
          <w:bCs/>
          <w:iCs/>
          <w:noProof/>
        </w:rPr>
        <w:tab/>
        <w:t>7 величине тела</w:t>
      </w:r>
    </w:p>
    <w:p w:rsidR="00051AE1" w:rsidRPr="00E071AC" w:rsidRDefault="00051AE1" w:rsidP="00051AE1">
      <w:pPr>
        <w:tabs>
          <w:tab w:val="left" w:pos="284"/>
        </w:tabs>
        <w:rPr>
          <w:bCs/>
          <w:iCs/>
          <w:noProof/>
          <w:lang w:val="sr-Cyrl-RS"/>
        </w:rPr>
      </w:pPr>
      <w:r w:rsidRPr="00D376E0">
        <w:rPr>
          <w:bCs/>
          <w:iCs/>
          <w:noProof/>
        </w:rPr>
        <w:t>3.</w:t>
      </w:r>
      <w:r w:rsidRPr="00D376E0">
        <w:rPr>
          <w:bCs/>
          <w:iCs/>
          <w:noProof/>
        </w:rPr>
        <w:tab/>
        <w:t>Стем са дисталном стабилизацијом</w:t>
      </w:r>
      <w:r w:rsidR="00E071AC">
        <w:rPr>
          <w:bCs/>
          <w:iCs/>
          <w:noProof/>
          <w:lang w:val="sr-Cyrl-RS"/>
        </w:rPr>
        <w:t xml:space="preserve"> (централајзер)</w:t>
      </w:r>
    </w:p>
    <w:p w:rsidR="00051AE1" w:rsidRPr="00D376E0" w:rsidRDefault="00051AE1" w:rsidP="00051AE1">
      <w:pPr>
        <w:tabs>
          <w:tab w:val="left" w:pos="284"/>
        </w:tabs>
        <w:rPr>
          <w:bCs/>
          <w:iCs/>
          <w:noProof/>
        </w:rPr>
      </w:pPr>
      <w:r w:rsidRPr="00D376E0">
        <w:rPr>
          <w:bCs/>
          <w:iCs/>
          <w:noProof/>
        </w:rPr>
        <w:t>4.</w:t>
      </w:r>
      <w:r w:rsidRPr="00D376E0">
        <w:rPr>
          <w:bCs/>
          <w:iCs/>
          <w:noProof/>
        </w:rPr>
        <w:tab/>
        <w:t>Феморална глава, материјал – Co – Cr, 5 дужина врата.</w:t>
      </w:r>
    </w:p>
    <w:p w:rsidR="00051AE1" w:rsidRPr="00D376E0" w:rsidRDefault="00051AE1" w:rsidP="00051AE1">
      <w:pPr>
        <w:tabs>
          <w:tab w:val="left" w:pos="284"/>
        </w:tabs>
        <w:rPr>
          <w:bCs/>
          <w:iCs/>
          <w:noProof/>
        </w:rPr>
      </w:pPr>
    </w:p>
    <w:p w:rsidR="00051AE1" w:rsidRPr="00D376E0" w:rsidRDefault="00051AE1" w:rsidP="00051AE1">
      <w:pPr>
        <w:tabs>
          <w:tab w:val="left" w:pos="284"/>
        </w:tabs>
        <w:rPr>
          <w:bCs/>
          <w:iCs/>
          <w:noProof/>
          <w:u w:val="single"/>
        </w:rPr>
      </w:pPr>
      <w:r w:rsidRPr="00D376E0">
        <w:rPr>
          <w:bCs/>
          <w:iCs/>
          <w:noProof/>
          <w:u w:val="single"/>
        </w:rPr>
        <w:t>Бесцементни  ацетабулум</w:t>
      </w:r>
    </w:p>
    <w:p w:rsidR="00051AE1" w:rsidRPr="00D376E0" w:rsidRDefault="00051AE1" w:rsidP="00051AE1">
      <w:pPr>
        <w:tabs>
          <w:tab w:val="left" w:pos="284"/>
        </w:tabs>
        <w:jc w:val="both"/>
        <w:rPr>
          <w:bCs/>
          <w:iCs/>
          <w:noProof/>
        </w:rPr>
      </w:pPr>
      <w:r w:rsidRPr="00D376E0">
        <w:rPr>
          <w:bCs/>
          <w:iCs/>
          <w:noProof/>
        </w:rPr>
        <w:t>1.</w:t>
      </w:r>
      <w:r w:rsidRPr="00D376E0">
        <w:rPr>
          <w:bCs/>
          <w:iCs/>
          <w:noProof/>
        </w:rPr>
        <w:tab/>
        <w:t>Материјал - Легура Титанијума</w:t>
      </w:r>
    </w:p>
    <w:p w:rsidR="00051AE1" w:rsidRPr="00D376E0" w:rsidRDefault="00051AE1" w:rsidP="00051AE1">
      <w:pPr>
        <w:tabs>
          <w:tab w:val="left" w:pos="284"/>
        </w:tabs>
        <w:ind w:left="284" w:hanging="284"/>
        <w:jc w:val="both"/>
        <w:rPr>
          <w:bCs/>
          <w:iCs/>
          <w:noProof/>
        </w:rPr>
      </w:pPr>
      <w:r w:rsidRPr="00D376E0">
        <w:rPr>
          <w:bCs/>
          <w:iCs/>
          <w:noProof/>
        </w:rPr>
        <w:t>2.</w:t>
      </w:r>
      <w:r w:rsidRPr="00D376E0">
        <w:rPr>
          <w:bCs/>
          <w:iCs/>
          <w:noProof/>
        </w:rPr>
        <w:tab/>
        <w:t>Доступан у различитим величинама спољашњег пречника, по захтеву наручиоца (од 44-66 мм)</w:t>
      </w:r>
    </w:p>
    <w:p w:rsidR="00051AE1" w:rsidRPr="00D376E0" w:rsidRDefault="00051AE1" w:rsidP="00051AE1">
      <w:pPr>
        <w:tabs>
          <w:tab w:val="left" w:pos="284"/>
        </w:tabs>
        <w:ind w:left="284" w:hanging="284"/>
        <w:jc w:val="both"/>
        <w:rPr>
          <w:bCs/>
          <w:iCs/>
          <w:noProof/>
        </w:rPr>
      </w:pPr>
      <w:r w:rsidRPr="00D376E0">
        <w:rPr>
          <w:bCs/>
          <w:iCs/>
          <w:noProof/>
        </w:rPr>
        <w:t>3.</w:t>
      </w:r>
      <w:r w:rsidRPr="00D376E0">
        <w:rPr>
          <w:bCs/>
          <w:iCs/>
          <w:noProof/>
        </w:rPr>
        <w:tab/>
        <w:t xml:space="preserve">Доступан у различитим величинама унутрашњег пречника (28 и 32 мм) </w:t>
      </w:r>
    </w:p>
    <w:p w:rsidR="00051AE1" w:rsidRPr="00D376E0" w:rsidRDefault="00051AE1" w:rsidP="00051AE1">
      <w:pPr>
        <w:tabs>
          <w:tab w:val="left" w:pos="284"/>
        </w:tabs>
        <w:jc w:val="both"/>
        <w:rPr>
          <w:bCs/>
          <w:iCs/>
          <w:noProof/>
        </w:rPr>
      </w:pPr>
      <w:r w:rsidRPr="00D376E0">
        <w:rPr>
          <w:bCs/>
          <w:iCs/>
          <w:noProof/>
        </w:rPr>
        <w:t>4.</w:t>
      </w:r>
      <w:r w:rsidRPr="00D376E0">
        <w:rPr>
          <w:bCs/>
          <w:iCs/>
          <w:noProof/>
        </w:rPr>
        <w:tab/>
        <w:t>Опис:  са више отвора за фиксацију</w:t>
      </w:r>
    </w:p>
    <w:p w:rsidR="00051AE1" w:rsidRPr="00D376E0" w:rsidRDefault="00051AE1" w:rsidP="00051AE1">
      <w:pPr>
        <w:tabs>
          <w:tab w:val="left" w:pos="284"/>
        </w:tabs>
        <w:jc w:val="both"/>
        <w:rPr>
          <w:bCs/>
          <w:iCs/>
          <w:noProof/>
        </w:rPr>
      </w:pPr>
      <w:r w:rsidRPr="00D376E0">
        <w:rPr>
          <w:bCs/>
          <w:iCs/>
          <w:noProof/>
        </w:rPr>
        <w:t>5.</w:t>
      </w:r>
      <w:r w:rsidRPr="00D376E0">
        <w:rPr>
          <w:bCs/>
          <w:iCs/>
          <w:noProof/>
        </w:rPr>
        <w:tab/>
        <w:t>Коштани завртањ, материјал легура Титанијума.</w:t>
      </w:r>
    </w:p>
    <w:p w:rsidR="00985CF2" w:rsidRPr="00D376E0" w:rsidRDefault="00985CF2" w:rsidP="00985CF2">
      <w:pPr>
        <w:tabs>
          <w:tab w:val="left" w:pos="284"/>
        </w:tabs>
        <w:rPr>
          <w:bCs/>
          <w:iCs/>
          <w:noProof/>
          <w:lang w:val="sr-Cyrl-RS"/>
        </w:rPr>
      </w:pPr>
    </w:p>
    <w:p w:rsidR="00985CF2" w:rsidRPr="00D376E0" w:rsidRDefault="00985CF2" w:rsidP="00985CF2">
      <w:pPr>
        <w:tabs>
          <w:tab w:val="left" w:pos="284"/>
        </w:tabs>
        <w:rPr>
          <w:bCs/>
          <w:iCs/>
          <w:noProof/>
          <w:lang w:val="sr-Cyrl-RS"/>
        </w:rPr>
      </w:pPr>
    </w:p>
    <w:p w:rsidR="00051AE1" w:rsidRPr="00D376E0" w:rsidRDefault="00051AE1" w:rsidP="00051AE1">
      <w:pPr>
        <w:tabs>
          <w:tab w:val="left" w:pos="284"/>
        </w:tabs>
        <w:rPr>
          <w:b/>
          <w:bCs/>
          <w:iCs/>
          <w:noProof/>
          <w:u w:val="single"/>
        </w:rPr>
      </w:pPr>
      <w:r w:rsidRPr="00D376E0">
        <w:rPr>
          <w:b/>
          <w:bCs/>
          <w:iCs/>
          <w:noProof/>
          <w:u w:val="single"/>
        </w:rPr>
        <w:t xml:space="preserve">Партија </w:t>
      </w:r>
      <w:r w:rsidRPr="00D376E0">
        <w:rPr>
          <w:b/>
          <w:bCs/>
          <w:iCs/>
          <w:noProof/>
          <w:u w:val="single"/>
          <w:lang w:val="sr-Cyrl-RS"/>
        </w:rPr>
        <w:t>2</w:t>
      </w:r>
      <w:r w:rsidRPr="00D376E0">
        <w:rPr>
          <w:b/>
          <w:bCs/>
          <w:iCs/>
          <w:noProof/>
          <w:u w:val="single"/>
        </w:rPr>
        <w:t>. Ревизиона протеза кука цементна</w:t>
      </w:r>
    </w:p>
    <w:p w:rsidR="00051AE1" w:rsidRPr="00D376E0" w:rsidRDefault="00051AE1" w:rsidP="00051AE1">
      <w:pPr>
        <w:tabs>
          <w:tab w:val="left" w:pos="284"/>
        </w:tabs>
        <w:rPr>
          <w:bCs/>
          <w:iCs/>
          <w:noProof/>
        </w:rPr>
      </w:pPr>
    </w:p>
    <w:p w:rsidR="00051AE1" w:rsidRPr="00D376E0" w:rsidRDefault="00051AE1" w:rsidP="00051AE1">
      <w:pPr>
        <w:tabs>
          <w:tab w:val="left" w:pos="284"/>
        </w:tabs>
        <w:rPr>
          <w:bCs/>
          <w:iCs/>
          <w:noProof/>
          <w:u w:val="single"/>
        </w:rPr>
      </w:pPr>
      <w:r w:rsidRPr="00D376E0">
        <w:rPr>
          <w:bCs/>
          <w:iCs/>
          <w:noProof/>
          <w:u w:val="single"/>
        </w:rPr>
        <w:t>Цементни стем без  колара</w:t>
      </w:r>
    </w:p>
    <w:p w:rsidR="00051AE1" w:rsidRPr="00D376E0" w:rsidRDefault="00051AE1" w:rsidP="00051AE1">
      <w:pPr>
        <w:tabs>
          <w:tab w:val="left" w:pos="284"/>
        </w:tabs>
        <w:rPr>
          <w:bCs/>
          <w:iCs/>
          <w:noProof/>
        </w:rPr>
      </w:pPr>
      <w:r w:rsidRPr="00D376E0">
        <w:rPr>
          <w:bCs/>
          <w:iCs/>
          <w:noProof/>
        </w:rPr>
        <w:t>1.</w:t>
      </w:r>
      <w:r w:rsidRPr="00D376E0">
        <w:rPr>
          <w:bCs/>
          <w:iCs/>
          <w:noProof/>
        </w:rPr>
        <w:tab/>
        <w:t>Материјал - Co – Cr</w:t>
      </w:r>
    </w:p>
    <w:p w:rsidR="00051AE1" w:rsidRPr="00D376E0" w:rsidRDefault="00051AE1" w:rsidP="00051AE1">
      <w:pPr>
        <w:tabs>
          <w:tab w:val="left" w:pos="284"/>
        </w:tabs>
        <w:rPr>
          <w:bCs/>
          <w:iCs/>
          <w:noProof/>
        </w:rPr>
      </w:pPr>
      <w:r w:rsidRPr="00D376E0">
        <w:rPr>
          <w:bCs/>
          <w:iCs/>
          <w:noProof/>
        </w:rPr>
        <w:t>2.</w:t>
      </w:r>
      <w:r w:rsidRPr="00D376E0">
        <w:rPr>
          <w:bCs/>
          <w:iCs/>
          <w:noProof/>
        </w:rPr>
        <w:tab/>
        <w:t>4 величина тела дужине 125-260 мм.</w:t>
      </w:r>
    </w:p>
    <w:p w:rsidR="00051AE1" w:rsidRPr="00D376E0" w:rsidRDefault="00051AE1" w:rsidP="00051AE1">
      <w:pPr>
        <w:tabs>
          <w:tab w:val="left" w:pos="284"/>
        </w:tabs>
        <w:rPr>
          <w:bCs/>
          <w:iCs/>
          <w:noProof/>
        </w:rPr>
      </w:pPr>
      <w:r w:rsidRPr="00D376E0">
        <w:rPr>
          <w:bCs/>
          <w:iCs/>
          <w:noProof/>
        </w:rPr>
        <w:t>3.</w:t>
      </w:r>
      <w:r w:rsidRPr="00D376E0">
        <w:rPr>
          <w:bCs/>
          <w:iCs/>
          <w:noProof/>
        </w:rPr>
        <w:tab/>
        <w:t>Стем са дисталном стабилизацијом</w:t>
      </w:r>
    </w:p>
    <w:p w:rsidR="00051AE1" w:rsidRPr="00D376E0" w:rsidRDefault="00051AE1" w:rsidP="00051AE1">
      <w:pPr>
        <w:tabs>
          <w:tab w:val="left" w:pos="284"/>
        </w:tabs>
        <w:rPr>
          <w:bCs/>
          <w:iCs/>
          <w:noProof/>
        </w:rPr>
      </w:pPr>
      <w:r w:rsidRPr="00D376E0">
        <w:rPr>
          <w:bCs/>
          <w:iCs/>
          <w:noProof/>
        </w:rPr>
        <w:t>4.</w:t>
      </w:r>
      <w:r w:rsidRPr="00D376E0">
        <w:rPr>
          <w:bCs/>
          <w:iCs/>
          <w:noProof/>
        </w:rPr>
        <w:tab/>
        <w:t>Феморална глава, материјал – Co – Cr, 5 дужина врата.</w:t>
      </w:r>
    </w:p>
    <w:p w:rsidR="00051AE1" w:rsidRPr="00D376E0" w:rsidRDefault="00051AE1" w:rsidP="00051AE1">
      <w:pPr>
        <w:tabs>
          <w:tab w:val="left" w:pos="284"/>
        </w:tabs>
        <w:rPr>
          <w:bCs/>
          <w:iCs/>
          <w:noProof/>
        </w:rPr>
      </w:pPr>
      <w:r w:rsidRPr="00D376E0">
        <w:rPr>
          <w:bCs/>
          <w:iCs/>
          <w:noProof/>
        </w:rPr>
        <w:t>5.</w:t>
      </w:r>
      <w:r w:rsidRPr="00D376E0">
        <w:rPr>
          <w:bCs/>
          <w:iCs/>
          <w:noProof/>
        </w:rPr>
        <w:tab/>
        <w:t>Флексибилне мрежице са импактиране грефоне.</w:t>
      </w:r>
    </w:p>
    <w:p w:rsidR="001C4F07" w:rsidRPr="00D376E0" w:rsidRDefault="001C4F07" w:rsidP="002C1DE6">
      <w:pPr>
        <w:rPr>
          <w:bCs/>
          <w:iCs/>
          <w:noProof/>
          <w:lang w:val="sr-Cyrl-RS"/>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985CF2" w:rsidRDefault="001C4F07" w:rsidP="002C1DE6">
      <w:pPr>
        <w:rPr>
          <w:bCs/>
          <w:iCs/>
          <w:noProof/>
          <w:lang w:val="sr-Cyrl-RS"/>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27" w:name="_Toc375898250"/>
      <w:bookmarkStart w:id="28" w:name="_Toc375905372"/>
      <w:bookmarkStart w:id="29" w:name="_Toc398110352"/>
      <w:bookmarkStart w:id="30" w:name="_Toc401059593"/>
      <w:bookmarkStart w:id="31" w:name="_Toc404939261"/>
      <w:r w:rsidRPr="00F54C6F">
        <w:lastRenderedPageBreak/>
        <w:t>ТЕХНИЧКА ДОКУМЕНТАЦИЈА</w:t>
      </w:r>
      <w:r w:rsidR="00A0769E" w:rsidRPr="00F54C6F">
        <w:t xml:space="preserve"> </w:t>
      </w:r>
      <w:r w:rsidRPr="00F54C6F">
        <w:rPr>
          <w:bCs/>
          <w:iCs/>
        </w:rPr>
        <w:t>ПРЕДМЕТА ЈАВНЕ НАБАВКЕ</w:t>
      </w:r>
      <w:bookmarkEnd w:id="26"/>
      <w:bookmarkEnd w:id="27"/>
      <w:bookmarkEnd w:id="28"/>
      <w:bookmarkEnd w:id="29"/>
      <w:bookmarkEnd w:id="30"/>
      <w:bookmarkEnd w:id="31"/>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AA49EA">
      <w:pPr>
        <w:pStyle w:val="ListParagraph"/>
        <w:numPr>
          <w:ilvl w:val="0"/>
          <w:numId w:val="13"/>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32" w:name="_Toc362872632"/>
      <w:bookmarkStart w:id="33" w:name="_Toc375898251"/>
      <w:bookmarkStart w:id="34" w:name="_Toc375905373"/>
      <w:bookmarkStart w:id="35" w:name="_Toc398110353"/>
      <w:bookmarkStart w:id="36" w:name="_Toc401059594"/>
      <w:bookmarkStart w:id="37" w:name="_Toc404939262"/>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32"/>
      <w:bookmarkEnd w:id="33"/>
      <w:bookmarkEnd w:id="34"/>
      <w:bookmarkEnd w:id="35"/>
      <w:bookmarkEnd w:id="36"/>
      <w:bookmarkEnd w:id="37"/>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bookmarkStart w:id="38" w:name="_GoBack"/>
        <w:bookmarkEnd w:id="38"/>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EF6B5E" w:rsidRDefault="00B075A7" w:rsidP="002C1DE6">
            <w:pPr>
              <w:pStyle w:val="ListParagraph"/>
              <w:ind w:left="405"/>
              <w:rPr>
                <w:noProof/>
              </w:rPr>
            </w:pPr>
            <w:r w:rsidRPr="00EF6B5E">
              <w:rPr>
                <w:noProof/>
              </w:rPr>
              <w:t>6.</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EF3C22" w:rsidRDefault="00B075A7" w:rsidP="00E071AC">
            <w:pPr>
              <w:rPr>
                <w:noProof/>
                <w:color w:val="FF0000"/>
              </w:rPr>
            </w:pPr>
            <w:r w:rsidRPr="00EF3C2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071AC">
              <w:rPr>
                <w:noProof/>
                <w:lang w:val="sr-Cyrl-RS"/>
              </w:rPr>
              <w:t>01</w:t>
            </w:r>
            <w:r w:rsidR="00A85243" w:rsidRPr="00A85243">
              <w:rPr>
                <w:noProof/>
              </w:rPr>
              <w:t>.0</w:t>
            </w:r>
            <w:r w:rsidR="00E071AC">
              <w:rPr>
                <w:noProof/>
                <w:lang w:val="sr-Cyrl-RS"/>
              </w:rPr>
              <w:t>6</w:t>
            </w:r>
            <w:r w:rsidR="00A85243" w:rsidRPr="00A85243">
              <w:rPr>
                <w:noProof/>
              </w:rPr>
              <w:t>.201</w:t>
            </w:r>
            <w:r w:rsidR="00A85243" w:rsidRPr="00A85243">
              <w:rPr>
                <w:noProof/>
                <w:lang w:val="sr-Cyrl-RS"/>
              </w:rPr>
              <w:t>4</w:t>
            </w:r>
            <w:r w:rsidR="00D376E0">
              <w:rPr>
                <w:noProof/>
              </w:rPr>
              <w:t xml:space="preserve">. до </w:t>
            </w:r>
            <w:r w:rsidR="00E071AC">
              <w:rPr>
                <w:noProof/>
                <w:lang w:val="sr-Cyrl-RS"/>
              </w:rPr>
              <w:t>01.</w:t>
            </w:r>
            <w:r w:rsidR="00D376E0">
              <w:rPr>
                <w:noProof/>
                <w:lang w:val="sr-Latn-RS"/>
              </w:rPr>
              <w:t>1</w:t>
            </w:r>
            <w:r w:rsidR="00E071AC">
              <w:rPr>
                <w:noProof/>
                <w:lang w:val="sr-Cyrl-RS"/>
              </w:rPr>
              <w:t>2</w:t>
            </w:r>
            <w:r w:rsidR="00A85243" w:rsidRPr="00A85243">
              <w:rPr>
                <w:noProof/>
              </w:rPr>
              <w:t>.201</w:t>
            </w:r>
            <w:r w:rsidR="00A85243" w:rsidRPr="00A85243">
              <w:rPr>
                <w:noProof/>
                <w:lang w:val="sr-Cyrl-RS"/>
              </w:rPr>
              <w:t>4</w:t>
            </w:r>
            <w:r w:rsidRPr="00A85243">
              <w:rPr>
                <w:noProof/>
              </w:rPr>
              <w:t>.</w:t>
            </w:r>
            <w:r w:rsidRPr="00EF3C22">
              <w:rPr>
                <w:noProof/>
              </w:rPr>
              <w:t xml:space="preserve"> године и да је ос</w:t>
            </w:r>
            <w:r>
              <w:rPr>
                <w:noProof/>
              </w:rPr>
              <w:t>твар</w:t>
            </w:r>
            <w:r w:rsidR="00985CF2">
              <w:rPr>
                <w:noProof/>
              </w:rPr>
              <w:t xml:space="preserve">ио најмање </w:t>
            </w:r>
            <w:r w:rsidR="00985CF2">
              <w:rPr>
                <w:noProof/>
                <w:lang w:val="sr-Cyrl-RS"/>
              </w:rPr>
              <w:t>6</w:t>
            </w:r>
            <w:r w:rsidRPr="00EF3C22">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E071AC" w:rsidRPr="00E071AC">
              <w:rPr>
                <w:noProof/>
              </w:rPr>
              <w:t>01.06.2014. до 01.12.2014</w:t>
            </w:r>
            <w:r w:rsidR="005A42A8" w:rsidRPr="005A42A8">
              <w:rPr>
                <w:noProof/>
              </w:rPr>
              <w:t xml:space="preserve">.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B075A7" w:rsidP="00B075A7">
            <w:pPr>
              <w:jc w:val="both"/>
              <w:rPr>
                <w:noProof/>
                <w:highlight w:val="yellow"/>
              </w:rPr>
            </w:pPr>
            <w:r w:rsidRPr="00482DB0">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w:t>
            </w:r>
            <w:r w:rsidRPr="00655FDF">
              <w:lastRenderedPageBreak/>
              <w:t>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985CF2"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85CF2" w:rsidRPr="00F54C6F" w:rsidRDefault="00985CF2" w:rsidP="00985CF2">
      <w:pPr>
        <w:pStyle w:val="ListParagraph"/>
        <w:ind w:left="405"/>
        <w:jc w:val="both"/>
        <w:rPr>
          <w:bCs/>
          <w:iCs/>
        </w:rPr>
      </w:pP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39" w:name="_Toc362872633"/>
      <w:bookmarkStart w:id="40" w:name="_Toc375898252"/>
      <w:bookmarkStart w:id="41" w:name="_Toc375905374"/>
      <w:bookmarkStart w:id="42" w:name="_Toc398110354"/>
      <w:bookmarkStart w:id="43" w:name="_Toc401059595"/>
      <w:bookmarkStart w:id="44" w:name="_Toc404939263"/>
      <w:r w:rsidRPr="00F54C6F">
        <w:rPr>
          <w:noProof/>
        </w:rPr>
        <w:lastRenderedPageBreak/>
        <w:t>УПУТСТВО П</w:t>
      </w:r>
      <w:r w:rsidR="00343F79" w:rsidRPr="00F54C6F">
        <w:rPr>
          <w:noProof/>
        </w:rPr>
        <w:t>ОНУЂАЧИМА КАКО ДА САЧИНЕ ПОНУДУ</w:t>
      </w:r>
      <w:bookmarkEnd w:id="39"/>
      <w:bookmarkEnd w:id="40"/>
      <w:bookmarkEnd w:id="41"/>
      <w:bookmarkEnd w:id="42"/>
      <w:bookmarkEnd w:id="43"/>
      <w:bookmarkEnd w:id="44"/>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D56C9E" w:rsidRDefault="00B61B04" w:rsidP="00B61B04">
      <w:pPr>
        <w:jc w:val="both"/>
      </w:pPr>
      <w:proofErr w:type="gramStart"/>
      <w:r>
        <w:t>Средство обезбеђења не може се вратити понуђачу пре истека рока трајања.</w:t>
      </w:r>
      <w:proofErr w:type="gramEnd"/>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r>
      <w:proofErr w:type="gramStart"/>
      <w:r w:rsidRPr="00B61B04">
        <w:rPr>
          <w:bCs/>
        </w:rPr>
        <w:t>поштом</w:t>
      </w:r>
      <w:proofErr w:type="gramEnd"/>
      <w:r w:rsidRPr="00B61B04">
        <w:rPr>
          <w:bCs/>
        </w:rPr>
        <w:t>,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r>
      <w:proofErr w:type="gramStart"/>
      <w:r w:rsidRPr="00B61B04">
        <w:rPr>
          <w:bCs/>
        </w:rPr>
        <w:t>путем</w:t>
      </w:r>
      <w:proofErr w:type="gramEnd"/>
      <w:r w:rsidRPr="00B61B04">
        <w:rPr>
          <w:bCs/>
        </w:rPr>
        <w:t xml:space="preserve"> факса, на број 021/487-22-32,</w:t>
      </w:r>
    </w:p>
    <w:p w:rsidR="00B61B04" w:rsidRPr="00B61B04" w:rsidRDefault="00B61B04" w:rsidP="00B61B04">
      <w:pPr>
        <w:jc w:val="both"/>
        <w:rPr>
          <w:bCs/>
        </w:rPr>
      </w:pPr>
      <w:r w:rsidRPr="00B61B04">
        <w:rPr>
          <w:bCs/>
        </w:rPr>
        <w:t>-</w:t>
      </w:r>
      <w:r w:rsidRPr="00B61B04">
        <w:rPr>
          <w:bCs/>
        </w:rPr>
        <w:tab/>
      </w:r>
      <w:proofErr w:type="gramStart"/>
      <w:r w:rsidRPr="00B61B04">
        <w:rPr>
          <w:bCs/>
        </w:rPr>
        <w:t>електронском</w:t>
      </w:r>
      <w:proofErr w:type="gramEnd"/>
      <w:r w:rsidRPr="00B61B04">
        <w:rPr>
          <w:bCs/>
        </w:rPr>
        <w:t xml:space="preserve">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r>
      <w:proofErr w:type="gramStart"/>
      <w:r w:rsidRPr="00B61B04">
        <w:rPr>
          <w:bCs/>
        </w:rPr>
        <w:t>лично</w:t>
      </w:r>
      <w:proofErr w:type="gramEnd"/>
      <w:r w:rsidRPr="00B61B04">
        <w:rPr>
          <w:bCs/>
        </w:rPr>
        <w:t>,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61B04" w:rsidRPr="00B61B04" w:rsidRDefault="00B61B04" w:rsidP="00B61B04">
      <w:pPr>
        <w:jc w:val="both"/>
        <w:rPr>
          <w:bCs/>
        </w:rPr>
      </w:pPr>
      <w:proofErr w:type="gramStart"/>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61B04" w:rsidRPr="00B61B04" w:rsidRDefault="00B61B04" w:rsidP="00B61B04">
      <w:pPr>
        <w:jc w:val="both"/>
        <w:rPr>
          <w:bCs/>
        </w:rPr>
      </w:pPr>
      <w:proofErr w:type="gramStart"/>
      <w:r w:rsidRPr="00B61B04">
        <w:rPr>
          <w:bCs/>
        </w:rPr>
        <w:t>По истеку рока предвиђеног за подношење понуда наручилац не може да мења нити да допуњује конкурсну документацију.</w:t>
      </w:r>
      <w:proofErr w:type="gramEnd"/>
    </w:p>
    <w:p w:rsidR="00B61B04" w:rsidRPr="00B61B04" w:rsidRDefault="00B61B04" w:rsidP="00B61B04">
      <w:pPr>
        <w:jc w:val="both"/>
        <w:rPr>
          <w:bCs/>
        </w:rPr>
      </w:pPr>
      <w:proofErr w:type="gramStart"/>
      <w:r w:rsidRPr="00B61B04">
        <w:rPr>
          <w:bCs/>
        </w:rPr>
        <w:t>Тражење додатних информација или појашњења у вези са припремањем понуде телефоном није дозвољено.</w:t>
      </w:r>
      <w:proofErr w:type="gramEnd"/>
    </w:p>
    <w:p w:rsidR="0011780B" w:rsidRPr="00B61B04" w:rsidRDefault="00B61B04" w:rsidP="00D56C9E">
      <w:pPr>
        <w:jc w:val="both"/>
        <w:rPr>
          <w:b/>
          <w:bCs/>
          <w:i/>
        </w:rPr>
      </w:pPr>
      <w:proofErr w:type="gramStart"/>
      <w:r w:rsidRPr="00B61B04">
        <w:rPr>
          <w:bCs/>
        </w:rPr>
        <w:t>Комуникација у поступку јавне набавке врши се искључиво на начин одређен чланом 20.</w:t>
      </w:r>
      <w:proofErr w:type="gramEnd"/>
      <w:r w:rsidRPr="00B61B04">
        <w:rPr>
          <w:bCs/>
        </w:rPr>
        <w:t xml:space="preserve"> </w:t>
      </w:r>
      <w:proofErr w:type="gramStart"/>
      <w:r w:rsidRPr="00B61B04">
        <w:rPr>
          <w:bCs/>
        </w:rPr>
        <w:t>Закона.</w:t>
      </w:r>
      <w:proofErr w:type="gramEnd"/>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Default="00F67AEE" w:rsidP="00BD01EA">
      <w:pPr>
        <w:jc w:val="both"/>
        <w:rPr>
          <w:noProof/>
          <w:lang w:val="sr-Cyrl-RS"/>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985CF2" w:rsidRDefault="00985CF2" w:rsidP="00BD01EA">
      <w:pPr>
        <w:jc w:val="both"/>
        <w:rPr>
          <w:noProof/>
          <w:lang w:val="sr-Cyrl-RS"/>
        </w:rPr>
      </w:pPr>
    </w:p>
    <w:p w:rsidR="00985CF2" w:rsidRDefault="00985CF2" w:rsidP="00BD01EA">
      <w:pPr>
        <w:jc w:val="both"/>
        <w:rPr>
          <w:noProof/>
          <w:lang w:val="sr-Cyrl-RS"/>
        </w:rPr>
      </w:pPr>
    </w:p>
    <w:p w:rsidR="00985CF2" w:rsidRPr="00985CF2" w:rsidRDefault="00985CF2" w:rsidP="00BD01EA">
      <w:pPr>
        <w:jc w:val="both"/>
        <w:rPr>
          <w:noProof/>
          <w:lang w:val="sr-Cyrl-RS"/>
        </w:rPr>
      </w:pP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45" w:name="_Toc311016791"/>
      <w:bookmarkStart w:id="46" w:name="_Toc311017143"/>
      <w:bookmarkStart w:id="47" w:name="_Toc311017332"/>
      <w:bookmarkStart w:id="48" w:name="_Toc312747151"/>
      <w:bookmarkStart w:id="49" w:name="_Toc312747210"/>
      <w:bookmarkStart w:id="50" w:name="_Toc362872634"/>
      <w:bookmarkStart w:id="51" w:name="_Toc375898253"/>
      <w:bookmarkStart w:id="52" w:name="_Toc375905375"/>
      <w:bookmarkStart w:id="53" w:name="_Toc398110355"/>
      <w:bookmarkStart w:id="54" w:name="_Toc401059596"/>
      <w:bookmarkStart w:id="55" w:name="_Toc404939264"/>
      <w:r w:rsidRPr="00F54C6F">
        <w:lastRenderedPageBreak/>
        <w:t>РАЗРАДА КРИТЕРИЈУМА</w:t>
      </w:r>
      <w:bookmarkEnd w:id="45"/>
      <w:bookmarkEnd w:id="46"/>
      <w:bookmarkEnd w:id="47"/>
      <w:bookmarkEnd w:id="48"/>
      <w:bookmarkEnd w:id="49"/>
      <w:bookmarkEnd w:id="50"/>
      <w:bookmarkEnd w:id="51"/>
      <w:bookmarkEnd w:id="52"/>
      <w:bookmarkEnd w:id="53"/>
      <w:bookmarkEnd w:id="54"/>
      <w:bookmarkEnd w:id="55"/>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D376E0">
        <w:rPr>
          <w:b/>
        </w:rPr>
        <w:t>253-14-O</w:t>
      </w:r>
      <w:r w:rsidRPr="00F54C6F">
        <w:rPr>
          <w:b/>
          <w:lang w:val="sr-Latn-CS"/>
        </w:rPr>
        <w:t xml:space="preserve"> –</w:t>
      </w:r>
      <w:r w:rsidRPr="00F54C6F">
        <w:rPr>
          <w:bCs/>
          <w:lang w:val="sr-Latn-CS"/>
        </w:rPr>
        <w:t xml:space="preserve"> </w:t>
      </w:r>
      <w:r w:rsidR="002B1F59" w:rsidRPr="002B1F59">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985CF2" w:rsidP="00985CF2">
      <w:pPr>
        <w:pStyle w:val="ListParagraph"/>
        <w:tabs>
          <w:tab w:val="left" w:pos="222"/>
        </w:tabs>
        <w:ind w:left="0"/>
        <w:rPr>
          <w:lang w:val="sr-Latn-CS"/>
        </w:rPr>
      </w:pPr>
      <w:r>
        <w:rPr>
          <w:lang w:val="sr-Latn-CS"/>
        </w:rPr>
        <w:tab/>
      </w:r>
      <w:r w:rsidRPr="00985CF2">
        <w:rPr>
          <w:lang w:val="sr-Latn-CS"/>
        </w:rPr>
        <w:t>Критеријум за доделу уговора је економски најповољнија понуда који се заснива на следећим елементима:</w:t>
      </w:r>
    </w:p>
    <w:p w:rsidR="00806C68" w:rsidRPr="00F54C6F" w:rsidRDefault="00806C68" w:rsidP="004A75CF">
      <w:pPr>
        <w:rPr>
          <w:lang w:val="sr-Latn-CS"/>
        </w:rPr>
      </w:pPr>
    </w:p>
    <w:p w:rsidR="00806C68" w:rsidRPr="00F54C6F" w:rsidRDefault="00806C68" w:rsidP="00DD3983">
      <w:pPr>
        <w:rPr>
          <w:b/>
          <w:lang w:val="sr-Cyrl-CS"/>
        </w:rPr>
      </w:pPr>
      <w:bookmarkStart w:id="56" w:name="_Toc312747152"/>
      <w:bookmarkStart w:id="57"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56"/>
      <w:bookmarkEnd w:id="57"/>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58" w:name="_Toc362872635"/>
      <w:bookmarkStart w:id="59" w:name="_Toc375898254"/>
      <w:bookmarkStart w:id="60" w:name="_Toc375905376"/>
      <w:bookmarkStart w:id="61" w:name="_Toc398110356"/>
      <w:bookmarkStart w:id="62" w:name="_Toc401059597"/>
      <w:bookmarkStart w:id="63" w:name="_Toc404939265"/>
      <w:r w:rsidRPr="00510B05">
        <w:rPr>
          <w:noProof/>
        </w:rPr>
        <w:lastRenderedPageBreak/>
        <w:t>МОДЕЛ УГОВОРА</w:t>
      </w:r>
      <w:bookmarkEnd w:id="58"/>
      <w:bookmarkEnd w:id="59"/>
      <w:bookmarkEnd w:id="60"/>
      <w:bookmarkEnd w:id="61"/>
      <w:bookmarkEnd w:id="62"/>
      <w:bookmarkEnd w:id="63"/>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Default="00510B05" w:rsidP="00510B05">
      <w:pPr>
        <w:jc w:val="center"/>
        <w:rPr>
          <w:noProof/>
          <w:lang w:val="sr-Cyrl-RS"/>
        </w:rPr>
      </w:pPr>
    </w:p>
    <w:p w:rsidR="00985CF2" w:rsidRPr="00985CF2" w:rsidRDefault="00985CF2" w:rsidP="00510B05">
      <w:pPr>
        <w:jc w:val="center"/>
        <w:rPr>
          <w:noProof/>
          <w:lang w:val="sr-Cyrl-RS"/>
        </w:rPr>
      </w:pPr>
    </w:p>
    <w:p w:rsidR="00510B05" w:rsidRPr="000E6D2D" w:rsidRDefault="00510B05" w:rsidP="00510B05">
      <w:pPr>
        <w:jc w:val="center"/>
        <w:outlineLvl w:val="0"/>
        <w:rPr>
          <w:b/>
          <w:noProof/>
          <w:lang w:val="sr-Latn-CS"/>
        </w:rPr>
      </w:pPr>
      <w:bookmarkStart w:id="64" w:name="_Toc398110357"/>
      <w:bookmarkStart w:id="65" w:name="_Toc401059598"/>
      <w:bookmarkStart w:id="66" w:name="_Toc404939266"/>
      <w:r w:rsidRPr="008E49CA">
        <w:rPr>
          <w:b/>
          <w:noProof/>
        </w:rPr>
        <w:t>УГОВОР</w:t>
      </w:r>
      <w:bookmarkEnd w:id="64"/>
      <w:bookmarkEnd w:id="65"/>
      <w:bookmarkEnd w:id="66"/>
    </w:p>
    <w:p w:rsidR="00510B05" w:rsidRDefault="00510B05" w:rsidP="00510B05">
      <w:pPr>
        <w:jc w:val="center"/>
        <w:outlineLvl w:val="0"/>
        <w:rPr>
          <w:b/>
          <w:noProof/>
          <w:lang w:val="sr-Cyrl-RS"/>
        </w:rPr>
      </w:pPr>
      <w:r w:rsidRPr="000E6D2D">
        <w:rPr>
          <w:b/>
          <w:noProof/>
          <w:lang w:val="sr-Latn-CS"/>
        </w:rPr>
        <w:t xml:space="preserve"> </w:t>
      </w:r>
      <w:bookmarkStart w:id="67" w:name="_Toc398110358"/>
      <w:bookmarkStart w:id="68" w:name="_Toc401059599"/>
      <w:bookmarkStart w:id="69" w:name="_Toc404939267"/>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D376E0">
        <w:rPr>
          <w:b/>
          <w:noProof/>
        </w:rPr>
        <w:t>253-14-O</w:t>
      </w:r>
      <w:bookmarkEnd w:id="67"/>
      <w:bookmarkEnd w:id="68"/>
      <w:bookmarkEnd w:id="69"/>
    </w:p>
    <w:p w:rsidR="00985CF2" w:rsidRPr="00985CF2" w:rsidRDefault="00985CF2" w:rsidP="00510B05">
      <w:pPr>
        <w:jc w:val="center"/>
        <w:outlineLvl w:val="0"/>
        <w:rPr>
          <w:b/>
          <w:noProof/>
          <w:lang w:val="sr-Cyrl-RS"/>
        </w:rPr>
      </w:pPr>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Default="00510B05" w:rsidP="00510B05">
      <w:pPr>
        <w:ind w:left="720"/>
        <w:jc w:val="both"/>
        <w:rPr>
          <w:noProof/>
          <w:lang w:val="sr-Cyrl-RS"/>
        </w:rPr>
      </w:pPr>
      <w:r w:rsidRPr="008E49CA">
        <w:rPr>
          <w:noProof/>
        </w:rPr>
        <w:t>(у даљем тексту: добављач), кога заступа ________________________________ .</w:t>
      </w:r>
      <w:r w:rsidR="00985CF2">
        <w:rPr>
          <w:noProof/>
          <w:lang w:val="sr-Cyrl-RS"/>
        </w:rPr>
        <w:t xml:space="preserve"> </w:t>
      </w:r>
    </w:p>
    <w:p w:rsidR="00985CF2" w:rsidRPr="00985CF2" w:rsidRDefault="00985CF2" w:rsidP="00510B05">
      <w:pPr>
        <w:ind w:left="720"/>
        <w:jc w:val="both"/>
        <w:rPr>
          <w:noProof/>
          <w:lang w:val="sr-Cyrl-RS"/>
        </w:rPr>
      </w:pP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70" w:name="_Toc398110359"/>
      <w:bookmarkStart w:id="71" w:name="_Toc401059600"/>
      <w:bookmarkStart w:id="72" w:name="_Toc404939268"/>
      <w:r w:rsidRPr="00CA119A">
        <w:rPr>
          <w:b/>
          <w:noProof/>
        </w:rPr>
        <w:t>Члан 1.</w:t>
      </w:r>
      <w:bookmarkEnd w:id="70"/>
      <w:bookmarkEnd w:id="71"/>
      <w:bookmarkEnd w:id="72"/>
    </w:p>
    <w:p w:rsidR="00510B05" w:rsidRDefault="00510B05" w:rsidP="00510B05">
      <w:pPr>
        <w:ind w:firstLine="720"/>
        <w:jc w:val="both"/>
        <w:rPr>
          <w:lang w:val="sr-Cyrl-RS"/>
        </w:rPr>
      </w:pPr>
      <w:proofErr w:type="gramStart"/>
      <w:r w:rsidRPr="00CA119A">
        <w:rPr>
          <w:noProof/>
        </w:rPr>
        <w:t xml:space="preserve">Предмет овог уговора је набавка добра - </w:t>
      </w:r>
      <w:r w:rsidRPr="00CA119A">
        <w:rPr>
          <w:b/>
          <w:i/>
        </w:rPr>
        <w:t>набавка ендопротеза кука 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D376E0">
        <w:rPr>
          <w:b/>
        </w:rPr>
        <w:t>253-14-O</w:t>
      </w:r>
      <w:r w:rsidRPr="00CA119A">
        <w:t>.</w:t>
      </w:r>
      <w:proofErr w:type="gramEnd"/>
    </w:p>
    <w:p w:rsidR="00985CF2" w:rsidRPr="00985CF2" w:rsidRDefault="00985CF2" w:rsidP="00510B05">
      <w:pPr>
        <w:ind w:firstLine="720"/>
        <w:jc w:val="both"/>
        <w:rPr>
          <w:lang w:val="sr-Cyrl-RS"/>
        </w:rPr>
      </w:pPr>
    </w:p>
    <w:p w:rsidR="00510B05" w:rsidRPr="00CA119A" w:rsidRDefault="00510B05" w:rsidP="00510B05">
      <w:pPr>
        <w:jc w:val="both"/>
        <w:rPr>
          <w:noProof/>
        </w:rPr>
      </w:pPr>
    </w:p>
    <w:p w:rsidR="00510B05" w:rsidRPr="00CA119A" w:rsidRDefault="00510B05" w:rsidP="00510B05">
      <w:pPr>
        <w:jc w:val="center"/>
        <w:outlineLvl w:val="0"/>
        <w:rPr>
          <w:b/>
          <w:noProof/>
        </w:rPr>
      </w:pPr>
      <w:bookmarkStart w:id="73" w:name="_Toc398110360"/>
      <w:bookmarkStart w:id="74" w:name="_Toc401059601"/>
      <w:bookmarkStart w:id="75" w:name="_Toc404939269"/>
      <w:r w:rsidRPr="00CA119A">
        <w:rPr>
          <w:b/>
          <w:noProof/>
        </w:rPr>
        <w:t>Члан 2.</w:t>
      </w:r>
      <w:bookmarkEnd w:id="73"/>
      <w:bookmarkEnd w:id="74"/>
      <w:bookmarkEnd w:id="75"/>
      <w:r w:rsidRPr="00CA119A">
        <w:rPr>
          <w:b/>
          <w:noProof/>
        </w:rPr>
        <w:t xml:space="preserve"> </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CA119A">
        <w:rPr>
          <w:b w:val="0"/>
          <w:bCs w:val="0"/>
        </w:rPr>
        <w:t xml:space="preserve">Цена добра из члана 1. овог уговора без пореза на додату вредност износи </w:t>
      </w:r>
      <w:r w:rsidRPr="00CA119A">
        <w:rPr>
          <w:b w:val="0"/>
        </w:rPr>
        <w:t>___________</w:t>
      </w:r>
      <w:r w:rsidRPr="00CA119A">
        <w:rPr>
          <w:b w:val="0"/>
          <w:bCs w:val="0"/>
        </w:rPr>
        <w:t xml:space="preserve"> (словима: ___________________), односно са порезом на додату вредност износи </w:t>
      </w:r>
      <w:r w:rsidRPr="00CA119A">
        <w:rPr>
          <w:b w:val="0"/>
        </w:rPr>
        <w:t>______________________</w:t>
      </w:r>
      <w:r w:rsidRPr="00CA119A">
        <w:rPr>
          <w:b w:val="0"/>
          <w:bCs w:val="0"/>
        </w:rPr>
        <w:t xml:space="preserve"> (словима: __________________________).</w:t>
      </w:r>
    </w:p>
    <w:p w:rsidR="00510B05" w:rsidRDefault="00510B05" w:rsidP="00510B05">
      <w:pPr>
        <w:ind w:firstLine="720"/>
        <w:jc w:val="both"/>
        <w:rPr>
          <w:bCs/>
          <w:lang w:val="sr-Cyrl-RS"/>
        </w:rPr>
      </w:pPr>
      <w:proofErr w:type="gramStart"/>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proofErr w:type="gramEnd"/>
      <w:r w:rsidRPr="00CA119A">
        <w:rPr>
          <w:bCs/>
          <w:lang w:val="sr-Latn-CS"/>
        </w:rPr>
        <w:t xml:space="preserve"> </w:t>
      </w:r>
    </w:p>
    <w:p w:rsidR="00985CF2" w:rsidRPr="00985CF2" w:rsidRDefault="00985CF2" w:rsidP="00510B05">
      <w:pPr>
        <w:ind w:firstLine="720"/>
        <w:jc w:val="both"/>
        <w:rPr>
          <w:bCs/>
          <w:lang w:val="sr-Cyrl-RS"/>
        </w:rPr>
      </w:pP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76" w:name="_Toc398110361"/>
      <w:bookmarkStart w:id="77" w:name="_Toc401059602"/>
      <w:bookmarkStart w:id="78" w:name="_Toc404939270"/>
      <w:r w:rsidRPr="00CA119A">
        <w:rPr>
          <w:noProof/>
        </w:rPr>
        <w:t>Члан 3.</w:t>
      </w:r>
      <w:bookmarkEnd w:id="76"/>
      <w:bookmarkEnd w:id="77"/>
      <w:bookmarkEnd w:id="78"/>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proofErr w:type="gramStart"/>
      <w:r w:rsidRPr="00CA119A">
        <w:rPr>
          <w:noProof/>
        </w:rPr>
        <w:lastRenderedPageBreak/>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CA119A">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proofErr w:type="gramStart"/>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w:t>
      </w:r>
      <w:proofErr w:type="gramEnd"/>
      <w:r w:rsidRPr="004E4DEA">
        <w:t xml:space="preserve"> </w:t>
      </w:r>
      <w:proofErr w:type="gramStart"/>
      <w:r w:rsidRPr="004E4DEA">
        <w:t>комплета</w:t>
      </w:r>
      <w:proofErr w:type="gramEnd"/>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79" w:name="_Toc398110362"/>
      <w:bookmarkStart w:id="80" w:name="_Toc401059603"/>
      <w:bookmarkStart w:id="81" w:name="_Toc404939271"/>
      <w:r w:rsidRPr="00CA119A">
        <w:rPr>
          <w:noProof/>
        </w:rPr>
        <w:t>Члан 4.</w:t>
      </w:r>
      <w:bookmarkEnd w:id="79"/>
      <w:bookmarkEnd w:id="80"/>
      <w:bookmarkEnd w:id="81"/>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82" w:name="_Toc398110363"/>
      <w:bookmarkStart w:id="83" w:name="_Toc401059604"/>
      <w:bookmarkStart w:id="84" w:name="_Toc404939272"/>
      <w:r w:rsidRPr="00CA119A">
        <w:rPr>
          <w:noProof/>
        </w:rPr>
        <w:t>Члан 5.</w:t>
      </w:r>
      <w:bookmarkEnd w:id="82"/>
      <w:bookmarkEnd w:id="83"/>
      <w:bookmarkEnd w:id="84"/>
    </w:p>
    <w:p w:rsidR="00510B05" w:rsidRPr="00CA119A" w:rsidRDefault="00510B05" w:rsidP="00510B05">
      <w:pPr>
        <w:pStyle w:val="BodyTextIndent"/>
        <w:ind w:left="0" w:firstLine="720"/>
        <w:jc w:val="both"/>
        <w:rPr>
          <w:b w:val="0"/>
          <w:noProof/>
        </w:rPr>
      </w:pPr>
      <w:r w:rsidRPr="00CA119A">
        <w:rPr>
          <w:b w:val="0"/>
          <w:noProof/>
        </w:rPr>
        <w:t>Уговорену цену наручилац ће исплатити добављачу</w:t>
      </w:r>
      <w:r w:rsidR="00985CF2">
        <w:rPr>
          <w:b w:val="0"/>
          <w:noProof/>
        </w:rPr>
        <w:t xml:space="preserve"> у року</w:t>
      </w:r>
      <w:r w:rsidRPr="00CA119A">
        <w:rPr>
          <w:b w:val="0"/>
          <w:noProof/>
        </w:rPr>
        <w:t xml:space="preserve"> </w:t>
      </w:r>
      <w:r w:rsidR="00985CF2">
        <w:rPr>
          <w:b w:val="0"/>
          <w:noProof/>
          <w:lang w:val="sr-Cyrl-RS"/>
        </w:rPr>
        <w:t>90</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510B05" w:rsidRPr="006A3C5B" w:rsidRDefault="00510B05" w:rsidP="00510B05">
      <w:pPr>
        <w:pStyle w:val="BodyTextIndent"/>
        <w:ind w:left="0" w:firstLine="0"/>
        <w:jc w:val="both"/>
        <w:rPr>
          <w:b w:val="0"/>
          <w:noProof/>
        </w:rPr>
      </w:pPr>
    </w:p>
    <w:p w:rsidR="00510B05" w:rsidRPr="00A40C84" w:rsidRDefault="00510B05" w:rsidP="00510B05">
      <w:pPr>
        <w:jc w:val="center"/>
        <w:outlineLvl w:val="0"/>
        <w:rPr>
          <w:b/>
          <w:noProof/>
        </w:rPr>
      </w:pPr>
      <w:bookmarkStart w:id="85" w:name="_Toc398110364"/>
      <w:bookmarkStart w:id="86" w:name="_Toc401059605"/>
      <w:bookmarkStart w:id="87" w:name="_Toc404939273"/>
      <w:r w:rsidRPr="00A40C84">
        <w:rPr>
          <w:b/>
          <w:noProof/>
        </w:rPr>
        <w:t>Члан 6.</w:t>
      </w:r>
      <w:bookmarkEnd w:id="85"/>
      <w:bookmarkEnd w:id="86"/>
      <w:bookmarkEnd w:id="87"/>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lastRenderedPageBreak/>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88" w:name="_Toc398110365"/>
      <w:bookmarkStart w:id="89" w:name="_Toc401059606"/>
      <w:bookmarkStart w:id="90" w:name="_Toc404939274"/>
      <w:r w:rsidRPr="002856DC">
        <w:rPr>
          <w:b/>
          <w:noProof/>
        </w:rPr>
        <w:t xml:space="preserve">Члан </w:t>
      </w:r>
      <w:r>
        <w:rPr>
          <w:b/>
          <w:noProof/>
        </w:rPr>
        <w:t>7</w:t>
      </w:r>
      <w:r w:rsidRPr="002856DC">
        <w:rPr>
          <w:b/>
          <w:noProof/>
        </w:rPr>
        <w:t>.</w:t>
      </w:r>
      <w:bookmarkEnd w:id="88"/>
      <w:bookmarkEnd w:id="89"/>
      <w:bookmarkEnd w:id="90"/>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91" w:name="_Toc398110366"/>
      <w:bookmarkStart w:id="92" w:name="_Toc401059607"/>
      <w:bookmarkStart w:id="93" w:name="_Toc404939275"/>
      <w:r w:rsidRPr="002856DC">
        <w:rPr>
          <w:b/>
          <w:noProof/>
        </w:rPr>
        <w:t xml:space="preserve">Члан </w:t>
      </w:r>
      <w:r>
        <w:rPr>
          <w:b/>
          <w:noProof/>
        </w:rPr>
        <w:t>8</w:t>
      </w:r>
      <w:r w:rsidRPr="002856DC">
        <w:rPr>
          <w:b/>
          <w:noProof/>
        </w:rPr>
        <w:t>.</w:t>
      </w:r>
      <w:bookmarkEnd w:id="91"/>
      <w:bookmarkEnd w:id="92"/>
      <w:bookmarkEnd w:id="93"/>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94" w:name="_Toc398110367"/>
      <w:bookmarkStart w:id="95" w:name="_Toc401059608"/>
      <w:bookmarkStart w:id="96" w:name="_Toc404939276"/>
      <w:r w:rsidRPr="002856DC">
        <w:rPr>
          <w:b/>
          <w:noProof/>
        </w:rPr>
        <w:t xml:space="preserve">Члан </w:t>
      </w:r>
      <w:r>
        <w:rPr>
          <w:b/>
          <w:noProof/>
        </w:rPr>
        <w:t>9</w:t>
      </w:r>
      <w:r w:rsidRPr="002856DC">
        <w:rPr>
          <w:b/>
          <w:noProof/>
        </w:rPr>
        <w:t>.</w:t>
      </w:r>
      <w:bookmarkEnd w:id="94"/>
      <w:bookmarkEnd w:id="95"/>
      <w:bookmarkEnd w:id="96"/>
    </w:p>
    <w:p w:rsidR="00510B05" w:rsidRPr="00A40C84" w:rsidRDefault="00510B05" w:rsidP="00510B05">
      <w:pPr>
        <w:ind w:firstLine="720"/>
        <w:rPr>
          <w:noProof/>
          <w:lang w:val="sr-Cyrl-CS"/>
        </w:rPr>
      </w:pPr>
      <w:r w:rsidRPr="00A40C84">
        <w:rPr>
          <w:noProof/>
          <w:lang w:val="en-US"/>
        </w:rPr>
        <w:t xml:space="preserve">За праћење реализације овог уговора у име наручиоца овлашћује </w:t>
      </w:r>
      <w:r>
        <w:rPr>
          <w:noProof/>
        </w:rPr>
        <w:t>____________________________________________</w:t>
      </w:r>
      <w:r w:rsidRPr="00A40C84">
        <w:rPr>
          <w:noProof/>
          <w:lang w:val="sr-Cyrl-CS"/>
        </w:rPr>
        <w:t>.</w:t>
      </w:r>
    </w:p>
    <w:p w:rsidR="00510B05" w:rsidRDefault="00510B05" w:rsidP="00510B05">
      <w:pPr>
        <w:jc w:val="center"/>
        <w:rPr>
          <w:b/>
          <w:noProof/>
        </w:rPr>
      </w:pPr>
    </w:p>
    <w:p w:rsidR="00510B05" w:rsidRPr="00A40C84" w:rsidRDefault="00510B05" w:rsidP="00510B05">
      <w:pPr>
        <w:jc w:val="center"/>
        <w:outlineLvl w:val="0"/>
        <w:rPr>
          <w:b/>
          <w:noProof/>
        </w:rPr>
      </w:pPr>
      <w:bookmarkStart w:id="97" w:name="_Toc398110368"/>
      <w:bookmarkStart w:id="98" w:name="_Toc401059609"/>
      <w:bookmarkStart w:id="99" w:name="_Toc404939277"/>
      <w:r w:rsidRPr="00F7742B">
        <w:rPr>
          <w:b/>
          <w:noProof/>
        </w:rPr>
        <w:t xml:space="preserve">Члан </w:t>
      </w:r>
      <w:r>
        <w:rPr>
          <w:b/>
          <w:noProof/>
        </w:rPr>
        <w:t>10</w:t>
      </w:r>
      <w:r w:rsidRPr="00F7742B">
        <w:rPr>
          <w:b/>
          <w:noProof/>
        </w:rPr>
        <w:t>.</w:t>
      </w:r>
      <w:bookmarkEnd w:id="97"/>
      <w:bookmarkEnd w:id="98"/>
      <w:bookmarkEnd w:id="9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 xml:space="preserve">у року прописаном чланом 3. </w:t>
      </w:r>
      <w:proofErr w:type="gramStart"/>
      <w:r w:rsidR="008E6B55" w:rsidRPr="008E6B55">
        <w:t>став</w:t>
      </w:r>
      <w:proofErr w:type="gramEnd"/>
      <w:r w:rsidR="008E6B55" w:rsidRPr="008E6B55">
        <w:t xml:space="preserve"> 2. </w:t>
      </w:r>
      <w:proofErr w:type="gramStart"/>
      <w:r w:rsidR="008E6B55" w:rsidRPr="008E6B55">
        <w:t>уговора</w:t>
      </w:r>
      <w:proofErr w:type="gramEnd"/>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100" w:name="_Toc398110369"/>
      <w:bookmarkStart w:id="101" w:name="_Toc401059610"/>
      <w:bookmarkStart w:id="102" w:name="_Toc404939278"/>
      <w:r w:rsidRPr="00F76B56">
        <w:rPr>
          <w:b/>
          <w:noProof/>
        </w:rPr>
        <w:t xml:space="preserve">Члан </w:t>
      </w:r>
      <w:r>
        <w:rPr>
          <w:b/>
          <w:noProof/>
        </w:rPr>
        <w:t>11</w:t>
      </w:r>
      <w:r w:rsidRPr="00F76B56">
        <w:rPr>
          <w:b/>
          <w:noProof/>
        </w:rPr>
        <w:t>.</w:t>
      </w:r>
      <w:bookmarkEnd w:id="100"/>
      <w:bookmarkEnd w:id="101"/>
      <w:bookmarkEnd w:id="102"/>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103" w:name="_Toc398110370"/>
      <w:bookmarkStart w:id="104" w:name="_Toc401059611"/>
      <w:bookmarkStart w:id="105" w:name="_Toc404939279"/>
      <w:r w:rsidRPr="008E49CA">
        <w:rPr>
          <w:b/>
          <w:noProof/>
        </w:rPr>
        <w:t xml:space="preserve">Члан </w:t>
      </w:r>
      <w:r>
        <w:rPr>
          <w:b/>
          <w:noProof/>
        </w:rPr>
        <w:t>12</w:t>
      </w:r>
      <w:r w:rsidRPr="008E49CA">
        <w:rPr>
          <w:b/>
          <w:noProof/>
        </w:rPr>
        <w:t>.</w:t>
      </w:r>
      <w:bookmarkEnd w:id="103"/>
      <w:bookmarkEnd w:id="104"/>
      <w:bookmarkEnd w:id="105"/>
    </w:p>
    <w:p w:rsidR="00510B05" w:rsidRDefault="00510B05" w:rsidP="00510B05">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5CF2" w:rsidRDefault="00985CF2" w:rsidP="00510B05">
      <w:pPr>
        <w:ind w:firstLine="741"/>
        <w:jc w:val="both"/>
        <w:rPr>
          <w:noProof/>
          <w:lang w:val="sr-Cyrl-RS"/>
        </w:rPr>
      </w:pPr>
    </w:p>
    <w:p w:rsidR="00985CF2" w:rsidRDefault="00985CF2" w:rsidP="00510B05">
      <w:pPr>
        <w:ind w:firstLine="741"/>
        <w:jc w:val="both"/>
        <w:rPr>
          <w:noProof/>
          <w:lang w:val="sr-Cyrl-RS"/>
        </w:rPr>
      </w:pPr>
    </w:p>
    <w:p w:rsidR="00985CF2" w:rsidRDefault="00985CF2" w:rsidP="00510B05">
      <w:pPr>
        <w:ind w:firstLine="741"/>
        <w:jc w:val="both"/>
        <w:rPr>
          <w:noProof/>
          <w:lang w:val="sr-Cyrl-RS"/>
        </w:rPr>
      </w:pPr>
    </w:p>
    <w:p w:rsidR="00985CF2" w:rsidRPr="00985CF2" w:rsidRDefault="00985CF2" w:rsidP="00510B05">
      <w:pPr>
        <w:ind w:firstLine="741"/>
        <w:jc w:val="both"/>
        <w:rPr>
          <w:noProof/>
          <w:lang w:val="sr-Cyrl-RS"/>
        </w:rPr>
      </w:pPr>
    </w:p>
    <w:p w:rsidR="00510B05" w:rsidRPr="008E49CA" w:rsidRDefault="00510B05" w:rsidP="00510B05">
      <w:pPr>
        <w:ind w:firstLine="720"/>
        <w:jc w:val="both"/>
        <w:rPr>
          <w:noProof/>
        </w:rPr>
      </w:pPr>
    </w:p>
    <w:p w:rsidR="00510B05" w:rsidRPr="00C1772F" w:rsidRDefault="00510B05" w:rsidP="00510B05">
      <w:pPr>
        <w:jc w:val="center"/>
        <w:outlineLvl w:val="0"/>
        <w:rPr>
          <w:b/>
          <w:noProof/>
        </w:rPr>
      </w:pPr>
      <w:bookmarkStart w:id="106" w:name="_Toc398110371"/>
      <w:bookmarkStart w:id="107" w:name="_Toc401059612"/>
      <w:bookmarkStart w:id="108" w:name="_Toc404939280"/>
      <w:r w:rsidRPr="008E49CA">
        <w:rPr>
          <w:b/>
          <w:noProof/>
        </w:rPr>
        <w:lastRenderedPageBreak/>
        <w:t xml:space="preserve">Члан </w:t>
      </w:r>
      <w:r>
        <w:rPr>
          <w:b/>
          <w:noProof/>
        </w:rPr>
        <w:t>13</w:t>
      </w:r>
      <w:r w:rsidRPr="008E49CA">
        <w:rPr>
          <w:b/>
          <w:noProof/>
        </w:rPr>
        <w:t>.</w:t>
      </w:r>
      <w:bookmarkEnd w:id="106"/>
      <w:bookmarkEnd w:id="107"/>
      <w:bookmarkEnd w:id="108"/>
    </w:p>
    <w:p w:rsidR="00510B05" w:rsidRDefault="00510B05" w:rsidP="00985CF2">
      <w:pPr>
        <w:ind w:firstLine="741"/>
        <w:jc w:val="both"/>
        <w:rPr>
          <w:noProof/>
          <w:lang w:val="sr-Cyrl-RS"/>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985CF2" w:rsidRPr="00985CF2" w:rsidRDefault="00985CF2" w:rsidP="00985CF2">
      <w:pPr>
        <w:ind w:firstLine="741"/>
        <w:jc w:val="both"/>
        <w:rPr>
          <w:noProof/>
          <w:lang w:val="sr-Cyrl-RS"/>
        </w:rPr>
      </w:pP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109" w:name="_Toc362872636"/>
      <w:bookmarkStart w:id="110" w:name="_Toc375898255"/>
      <w:bookmarkStart w:id="111" w:name="_Toc375905377"/>
      <w:bookmarkStart w:id="112" w:name="_Toc398110372"/>
      <w:bookmarkStart w:id="113" w:name="_Toc401059613"/>
      <w:bookmarkStart w:id="114" w:name="_Toc404939281"/>
      <w:r w:rsidRPr="00F54C6F">
        <w:rPr>
          <w:noProof/>
        </w:rPr>
        <w:lastRenderedPageBreak/>
        <w:t>ИЗЈАВА О НЕЗАВИСНОЈ ПОНУДИ</w:t>
      </w:r>
      <w:bookmarkEnd w:id="109"/>
      <w:bookmarkEnd w:id="110"/>
      <w:bookmarkEnd w:id="111"/>
      <w:bookmarkEnd w:id="112"/>
      <w:bookmarkEnd w:id="113"/>
      <w:bookmarkEnd w:id="114"/>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844D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15" w:name="_Toc362872637"/>
      <w:bookmarkStart w:id="116" w:name="_Toc375898256"/>
      <w:bookmarkStart w:id="117" w:name="_Toc375905378"/>
      <w:bookmarkStart w:id="118" w:name="_Toc398110373"/>
      <w:bookmarkStart w:id="119" w:name="_Toc401059614"/>
      <w:bookmarkStart w:id="120" w:name="_Toc404939282"/>
      <w:r w:rsidRPr="00F54C6F">
        <w:lastRenderedPageBreak/>
        <w:t>ОБРАЗАЦ ИЗЈАВЕ О ПОШТОВАЊУ ОБАВЕЗА</w:t>
      </w:r>
      <w:bookmarkEnd w:id="115"/>
      <w:bookmarkEnd w:id="116"/>
      <w:bookmarkEnd w:id="117"/>
      <w:bookmarkEnd w:id="118"/>
      <w:bookmarkEnd w:id="119"/>
      <w:bookmarkEnd w:id="12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1844D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7821DA">
      <w:pPr>
        <w:pStyle w:val="Heading2"/>
        <w:numPr>
          <w:ilvl w:val="0"/>
          <w:numId w:val="6"/>
        </w:numPr>
      </w:pPr>
      <w:bookmarkStart w:id="121" w:name="_Toc364158551"/>
      <w:bookmarkStart w:id="122" w:name="_Toc377978309"/>
      <w:bookmarkStart w:id="123" w:name="_Toc380740093"/>
      <w:bookmarkStart w:id="124" w:name="_Toc389742055"/>
      <w:bookmarkStart w:id="125" w:name="_Toc390684883"/>
      <w:bookmarkStart w:id="126" w:name="_Toc390768777"/>
      <w:bookmarkStart w:id="127" w:name="_Toc398110374"/>
      <w:bookmarkStart w:id="128" w:name="_Toc401059615"/>
      <w:bookmarkStart w:id="129" w:name="_Toc404939283"/>
      <w:bookmarkStart w:id="130" w:name="_Toc362872639"/>
      <w:bookmarkStart w:id="131" w:name="_Toc375898258"/>
      <w:bookmarkStart w:id="132" w:name="_Toc375905380"/>
      <w:r w:rsidRPr="00DE0EA0">
        <w:lastRenderedPageBreak/>
        <w:t>ОБРАЗАЦ СТРУКТУРЕ ПОНУЂЕНЕ ЦЕНЕ</w:t>
      </w:r>
      <w:bookmarkEnd w:id="121"/>
      <w:bookmarkEnd w:id="122"/>
      <w:bookmarkEnd w:id="123"/>
      <w:bookmarkEnd w:id="124"/>
      <w:bookmarkEnd w:id="125"/>
      <w:bookmarkEnd w:id="126"/>
      <w:bookmarkEnd w:id="127"/>
      <w:bookmarkEnd w:id="128"/>
      <w:bookmarkEnd w:id="129"/>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7821DA">
      <w:pPr>
        <w:pStyle w:val="ListParagraph"/>
        <w:numPr>
          <w:ilvl w:val="0"/>
          <w:numId w:val="3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7821DA">
      <w:pPr>
        <w:pStyle w:val="ListParagraph"/>
        <w:numPr>
          <w:ilvl w:val="0"/>
          <w:numId w:val="3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7821DA">
      <w:pPr>
        <w:pStyle w:val="ListParagraph"/>
        <w:numPr>
          <w:ilvl w:val="0"/>
          <w:numId w:val="3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7821DA">
      <w:pPr>
        <w:pStyle w:val="Heading2"/>
        <w:numPr>
          <w:ilvl w:val="0"/>
          <w:numId w:val="6"/>
        </w:numPr>
      </w:pPr>
      <w:bookmarkStart w:id="133" w:name="_Toc364158552"/>
      <w:bookmarkStart w:id="134" w:name="_Toc377978310"/>
      <w:bookmarkStart w:id="135" w:name="_Toc380740094"/>
      <w:bookmarkStart w:id="136" w:name="_Toc389742056"/>
      <w:bookmarkStart w:id="137" w:name="_Toc390684884"/>
      <w:bookmarkStart w:id="138" w:name="_Toc390768778"/>
      <w:bookmarkStart w:id="139" w:name="_Toc398110375"/>
      <w:bookmarkStart w:id="140" w:name="_Toc401059616"/>
      <w:bookmarkStart w:id="141" w:name="_Toc404939284"/>
      <w:bookmarkEnd w:id="130"/>
      <w:bookmarkEnd w:id="131"/>
      <w:bookmarkEnd w:id="132"/>
      <w:r w:rsidRPr="00DE0EA0">
        <w:lastRenderedPageBreak/>
        <w:t>ОБРАЗАЦ ТРОШКОВА ПРИПРЕМЕ ПОНУДЕ</w:t>
      </w:r>
      <w:bookmarkEnd w:id="133"/>
      <w:bookmarkEnd w:id="134"/>
      <w:bookmarkEnd w:id="135"/>
      <w:bookmarkEnd w:id="136"/>
      <w:bookmarkEnd w:id="137"/>
      <w:bookmarkEnd w:id="138"/>
      <w:bookmarkEnd w:id="139"/>
      <w:bookmarkEnd w:id="140"/>
      <w:bookmarkEnd w:id="141"/>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142" w:name="_Toc375898260"/>
      <w:bookmarkStart w:id="143" w:name="_Toc311632163"/>
      <w:bookmarkStart w:id="144" w:name="_Toc311632190"/>
      <w:bookmarkStart w:id="145" w:name="_Toc347907179"/>
      <w:bookmarkStart w:id="146" w:name="_Toc375905381"/>
      <w:bookmarkStart w:id="147" w:name="_Toc398110376"/>
      <w:bookmarkStart w:id="148" w:name="_Toc401059617"/>
      <w:bookmarkStart w:id="149" w:name="_Toc404939285"/>
      <w:r w:rsidRPr="002B3154">
        <w:t>ОБРАЗАЦ ЗА УНОШЕЊЕ ПОДАТАКА ИЗ ПОНУДЕ КОЈИ СУ ОДРЕЂЕНИ КАО ЕЛЕМЕНТИ КРИТЕРИЈУМА</w:t>
      </w:r>
      <w:bookmarkEnd w:id="142"/>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143"/>
      <w:bookmarkEnd w:id="144"/>
      <w:bookmarkEnd w:id="145"/>
      <w:bookmarkEnd w:id="146"/>
      <w:bookmarkEnd w:id="147"/>
      <w:bookmarkEnd w:id="148"/>
      <w:bookmarkEnd w:id="149"/>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150" w:name="_Toc311632164"/>
            <w:bookmarkStart w:id="151" w:name="_Toc311632191"/>
            <w:bookmarkStart w:id="152" w:name="_Toc347907180"/>
            <w:r w:rsidRPr="00AF454E">
              <w:rPr>
                <w:bCs/>
                <w:iCs/>
                <w:lang w:val="sr-Latn-CS"/>
              </w:rPr>
              <w:t>_____________</w:t>
            </w:r>
            <w:bookmarkEnd w:id="150"/>
            <w:bookmarkEnd w:id="151"/>
            <w:bookmarkEnd w:id="152"/>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153" w:name="_Toc362872640"/>
      <w:bookmarkStart w:id="154" w:name="_Toc375898261"/>
      <w:bookmarkStart w:id="155" w:name="_Toc375905382"/>
      <w:bookmarkStart w:id="156" w:name="_Toc398110377"/>
      <w:bookmarkStart w:id="157" w:name="_Toc401059618"/>
      <w:bookmarkStart w:id="158" w:name="_Toc404939286"/>
      <w:r w:rsidRPr="00F54C6F">
        <w:rPr>
          <w:noProof/>
        </w:rPr>
        <w:lastRenderedPageBreak/>
        <w:t>ОБРАЗАЦ ПОНУДЕ</w:t>
      </w:r>
      <w:bookmarkEnd w:id="153"/>
      <w:bookmarkEnd w:id="154"/>
      <w:bookmarkEnd w:id="155"/>
      <w:bookmarkEnd w:id="156"/>
      <w:bookmarkEnd w:id="157"/>
      <w:bookmarkEnd w:id="158"/>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3E0BBF" w:rsidRDefault="00EB0327" w:rsidP="003E0BBF">
                  <w:pPr>
                    <w:rPr>
                      <w:b/>
                      <w:bCs/>
                      <w:sz w:val="22"/>
                      <w:szCs w:val="22"/>
                    </w:rPr>
                  </w:pPr>
                  <w:r>
                    <w:rPr>
                      <w:b/>
                      <w:bCs/>
                      <w:sz w:val="22"/>
                      <w:szCs w:val="22"/>
                    </w:rPr>
                    <w:t xml:space="preserve">ПОНУДА БРОЈ_____ ПО ЈАВНОМ ПОЗИВУ БРОЈ </w:t>
                  </w:r>
                  <w:r w:rsidR="00D376E0">
                    <w:rPr>
                      <w:b/>
                      <w:bCs/>
                      <w:sz w:val="22"/>
                      <w:szCs w:val="22"/>
                    </w:rPr>
                    <w:t>253-14-O</w:t>
                  </w:r>
                  <w:r>
                    <w:rPr>
                      <w:b/>
                      <w:bCs/>
                      <w:sz w:val="22"/>
                      <w:szCs w:val="22"/>
                    </w:rPr>
                    <w:t xml:space="preserve">-  </w:t>
                  </w:r>
                  <w:r w:rsidRPr="00EB0327">
                    <w:rPr>
                      <w:b/>
                      <w:bCs/>
                      <w:sz w:val="22"/>
                      <w:szCs w:val="22"/>
                    </w:rPr>
                    <w:t xml:space="preserve">– Набавка ендопротеза кука за потребе Клинике за </w:t>
                  </w:r>
                </w:p>
                <w:p w:rsidR="00EB0327" w:rsidRDefault="00EB0327"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7821DA" w:rsidP="00EB0327">
            <w:r>
              <w:rPr>
                <w:b/>
                <w:bCs/>
                <w:noProof/>
              </w:rPr>
              <w:t>Партија 1</w:t>
            </w:r>
            <w:r w:rsidR="00DF5DC9" w:rsidRPr="00DF5DC9">
              <w:rPr>
                <w:b/>
                <w:bCs/>
                <w:noProof/>
              </w:rPr>
              <w:t xml:space="preserve">. </w:t>
            </w:r>
            <w:r w:rsidR="00D376E0" w:rsidRPr="00D376E0">
              <w:rPr>
                <w:b/>
                <w:bCs/>
                <w:noProof/>
              </w:rPr>
              <w:t>Хибридна протеза кука - бесцементни ацетабулум, феморална компонента са коларом</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D376E0" w:rsidP="00EB0327">
            <w:pPr>
              <w:jc w:val="center"/>
              <w:rPr>
                <w:sz w:val="20"/>
                <w:szCs w:val="20"/>
              </w:rPr>
            </w:pPr>
            <w:r w:rsidRPr="00D376E0">
              <w:rPr>
                <w:noProof/>
                <w:sz w:val="20"/>
                <w:szCs w:val="20"/>
              </w:rPr>
              <w:t>Хибридна протеза кука - бесцементни ацетабулум, феморална компонента са коларом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854071" w:rsidRDefault="00D376E0" w:rsidP="00EB0327">
            <w:pPr>
              <w:jc w:val="center"/>
              <w:rPr>
                <w:sz w:val="20"/>
                <w:szCs w:val="20"/>
                <w:lang w:val="sr-Cyrl-RS"/>
              </w:rPr>
            </w:pPr>
            <w:r>
              <w:rPr>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854071" w:rsidRDefault="001F12BF" w:rsidP="007A3BF5">
      <w:pPr>
        <w:rPr>
          <w:lang w:val="sr-Cyrl-RS"/>
        </w:rPr>
      </w:pPr>
      <w:r w:rsidRPr="001F12BF">
        <w:t>Гарантни рок: _______________________________</w:t>
      </w:r>
    </w:p>
    <w:p w:rsidR="007A3BF5" w:rsidRDefault="007A3BF5" w:rsidP="007A3BF5">
      <w:r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3E0BBF" w:rsidRDefault="007A3BF5" w:rsidP="003E0BBF">
                  <w:pPr>
                    <w:rPr>
                      <w:b/>
                      <w:bCs/>
                      <w:sz w:val="22"/>
                      <w:szCs w:val="22"/>
                    </w:rPr>
                  </w:pPr>
                  <w:r>
                    <w:rPr>
                      <w:b/>
                      <w:bCs/>
                      <w:sz w:val="22"/>
                      <w:szCs w:val="22"/>
                    </w:rPr>
                    <w:t xml:space="preserve">ПОНУДА БРОЈ_____ ПО ЈАВНОМ ПОЗИВУ БРОЈ </w:t>
                  </w:r>
                  <w:r w:rsidR="00D376E0">
                    <w:rPr>
                      <w:b/>
                      <w:bCs/>
                      <w:sz w:val="22"/>
                      <w:szCs w:val="22"/>
                    </w:rPr>
                    <w:t>253-14-O</w:t>
                  </w:r>
                  <w:r>
                    <w:rPr>
                      <w:b/>
                      <w:bCs/>
                      <w:sz w:val="22"/>
                      <w:szCs w:val="22"/>
                    </w:rPr>
                    <w:t xml:space="preserve">-  </w:t>
                  </w:r>
                  <w:r w:rsidRPr="00EB0327">
                    <w:rPr>
                      <w:b/>
                      <w:bCs/>
                      <w:sz w:val="22"/>
                      <w:szCs w:val="22"/>
                    </w:rPr>
                    <w:t xml:space="preserve">– Набавка ендопротеза кука за потребе Клинике за </w:t>
                  </w:r>
                </w:p>
                <w:p w:rsidR="007A3BF5" w:rsidRDefault="007A3BF5" w:rsidP="003E0BBF">
                  <w:pPr>
                    <w:rPr>
                      <w:b/>
                      <w:bCs/>
                      <w:sz w:val="22"/>
                      <w:szCs w:val="22"/>
                    </w:rPr>
                  </w:pPr>
                  <w:r w:rsidRPr="00EB0327">
                    <w:rPr>
                      <w:b/>
                      <w:bCs/>
                      <w:sz w:val="22"/>
                      <w:szCs w:val="22"/>
                    </w:rPr>
                    <w:t>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2</w:t>
            </w:r>
            <w:r w:rsidR="007A3BF5">
              <w:rPr>
                <w:b/>
                <w:bCs/>
                <w:noProof/>
              </w:rPr>
              <w:t xml:space="preserve">.  </w:t>
            </w:r>
            <w:r w:rsidR="00D376E0" w:rsidRPr="00D376E0">
              <w:rPr>
                <w:b/>
                <w:bCs/>
                <w:noProof/>
              </w:rPr>
              <w:t>Ревизиона протеза кука цементна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D376E0" w:rsidP="007A3BF5">
            <w:pPr>
              <w:jc w:val="center"/>
              <w:rPr>
                <w:noProof/>
                <w:sz w:val="20"/>
                <w:szCs w:val="20"/>
              </w:rPr>
            </w:pPr>
            <w:r w:rsidRPr="00D376E0">
              <w:rPr>
                <w:noProof/>
                <w:sz w:val="20"/>
                <w:szCs w:val="20"/>
              </w:rPr>
              <w:t>Ревизиона протеза кука цементна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854071" w:rsidRDefault="00854071" w:rsidP="007A3BF5">
            <w:pPr>
              <w:jc w:val="center"/>
              <w:rPr>
                <w:noProof/>
                <w:sz w:val="20"/>
                <w:szCs w:val="20"/>
                <w:lang w:val="sr-Cyrl-RS"/>
              </w:rPr>
            </w:pPr>
            <w:r>
              <w:rPr>
                <w:noProof/>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B645A0" w:rsidRDefault="001F12BF">
      <w:r w:rsidRPr="001F12BF">
        <w:t>Гарантни рок: _______________________________</w:t>
      </w:r>
      <w:r w:rsidR="00B645A0">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159" w:name="_Toc362872641"/>
            <w:bookmarkStart w:id="160" w:name="_Toc375898262"/>
            <w:bookmarkStart w:id="161" w:name="_Toc375905383"/>
            <w:bookmarkStart w:id="162" w:name="_Toc398110378"/>
            <w:bookmarkStart w:id="163" w:name="_Toc401059619"/>
            <w:bookmarkStart w:id="164" w:name="_Toc404939287"/>
            <w:r w:rsidRPr="00F54C6F">
              <w:rPr>
                <w:noProof/>
              </w:rPr>
              <w:t>ОПШТИ ПОДАЦИ О ПОНУЂАЧУ ИЗ ГРУПЕ ПОНУЂАЧА</w:t>
            </w:r>
            <w:bookmarkEnd w:id="159"/>
            <w:bookmarkEnd w:id="160"/>
            <w:bookmarkEnd w:id="161"/>
            <w:bookmarkEnd w:id="162"/>
            <w:bookmarkEnd w:id="163"/>
            <w:bookmarkEnd w:id="16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165" w:name="_Toc362872642"/>
            <w:bookmarkStart w:id="166" w:name="_Toc375898263"/>
            <w:bookmarkStart w:id="167" w:name="_Toc375905384"/>
            <w:bookmarkStart w:id="168" w:name="_Toc398110379"/>
            <w:bookmarkStart w:id="169" w:name="_Toc401059620"/>
            <w:bookmarkStart w:id="170" w:name="_Toc404939288"/>
            <w:r w:rsidRPr="00F54C6F">
              <w:rPr>
                <w:noProof/>
              </w:rPr>
              <w:t>ОПШТИ ПОДАЦИ О ПОДИЗВОЂАЧИМА</w:t>
            </w:r>
            <w:bookmarkEnd w:id="165"/>
            <w:bookmarkEnd w:id="166"/>
            <w:bookmarkEnd w:id="167"/>
            <w:bookmarkEnd w:id="168"/>
            <w:bookmarkEnd w:id="169"/>
            <w:bookmarkEnd w:id="170"/>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A5" w:rsidRDefault="008875A5">
      <w:r>
        <w:separator/>
      </w:r>
    </w:p>
  </w:endnote>
  <w:endnote w:type="continuationSeparator" w:id="0">
    <w:p w:rsidR="008875A5" w:rsidRDefault="008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8875A5" w:rsidRDefault="008875A5">
        <w:pPr>
          <w:pStyle w:val="Footer"/>
          <w:jc w:val="right"/>
        </w:pPr>
        <w:r>
          <w:rPr>
            <w:lang w:val="sr-Cyrl-CS"/>
          </w:rPr>
          <w:t xml:space="preserve">Страна </w:t>
        </w:r>
        <w:r>
          <w:fldChar w:fldCharType="begin"/>
        </w:r>
        <w:r>
          <w:instrText xml:space="preserve"> PAGE   \* MERGEFORMAT </w:instrText>
        </w:r>
        <w:r>
          <w:fldChar w:fldCharType="separate"/>
        </w:r>
        <w:r w:rsidR="001844D4">
          <w:rPr>
            <w:noProof/>
          </w:rPr>
          <w:t>2</w:t>
        </w:r>
        <w:r>
          <w:rPr>
            <w:noProof/>
          </w:rPr>
          <w:fldChar w:fldCharType="end"/>
        </w:r>
        <w:r>
          <w:rPr>
            <w:noProof/>
            <w:lang w:val="sr-Cyrl-CS"/>
          </w:rPr>
          <w:t>/</w:t>
        </w:r>
        <w:r>
          <w:rPr>
            <w:noProof/>
            <w:lang w:val="sr-Latn-RS"/>
          </w:rPr>
          <w:t>3</w:t>
        </w:r>
        <w:r>
          <w:rPr>
            <w:noProof/>
            <w:lang w:val="sr-Cyrl-RS"/>
          </w:rPr>
          <w:t>5</w:t>
        </w:r>
      </w:p>
    </w:sdtContent>
  </w:sdt>
  <w:p w:rsidR="008875A5" w:rsidRDefault="00887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Default="008875A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5A5" w:rsidRDefault="008875A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Pr="00D376E0" w:rsidRDefault="008875A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1844D4">
      <w:rPr>
        <w:noProof/>
      </w:rPr>
      <w:t>35</w:t>
    </w:r>
    <w:r>
      <w:rPr>
        <w:noProof/>
      </w:rPr>
      <w:fldChar w:fldCharType="end"/>
    </w:r>
    <w:r>
      <w:rPr>
        <w:noProof/>
        <w:lang w:val="sr-Cyrl-CS"/>
      </w:rPr>
      <w:t>/</w:t>
    </w:r>
    <w:r>
      <w:rPr>
        <w:noProof/>
      </w:rPr>
      <w:t>3</w:t>
    </w:r>
    <w:r>
      <w:rPr>
        <w:noProof/>
        <w:lang w:val="sr-Cyrl-RS"/>
      </w:rPr>
      <w:t>5</w:t>
    </w:r>
  </w:p>
  <w:p w:rsidR="008875A5" w:rsidRPr="00CF2211" w:rsidRDefault="008875A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Default="00887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A5" w:rsidRDefault="008875A5">
      <w:r>
        <w:separator/>
      </w:r>
    </w:p>
  </w:footnote>
  <w:footnote w:type="continuationSeparator" w:id="0">
    <w:p w:rsidR="008875A5" w:rsidRDefault="0088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Default="00887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Pr="00884492" w:rsidRDefault="008875A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A5" w:rsidRDefault="00887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6B0D47"/>
    <w:multiLevelType w:val="hybridMultilevel"/>
    <w:tmpl w:val="816CA736"/>
    <w:lvl w:ilvl="0" w:tplc="5B02D0B6">
      <w:start w:val="12"/>
      <w:numFmt w:val="decimal"/>
      <w:lvlText w:val="%1."/>
      <w:lvlJc w:val="left"/>
      <w:pPr>
        <w:ind w:left="1935" w:hanging="375"/>
      </w:pPr>
      <w:rPr>
        <w:rFonts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39">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5"/>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31"/>
  </w:num>
  <w:num w:numId="9">
    <w:abstractNumId w:val="26"/>
  </w:num>
  <w:num w:numId="10">
    <w:abstractNumId w:val="8"/>
  </w:num>
  <w:num w:numId="11">
    <w:abstractNumId w:val="28"/>
  </w:num>
  <w:num w:numId="12">
    <w:abstractNumId w:val="32"/>
  </w:num>
  <w:num w:numId="13">
    <w:abstractNumId w:val="15"/>
  </w:num>
  <w:num w:numId="14">
    <w:abstractNumId w:val="18"/>
  </w:num>
  <w:num w:numId="15">
    <w:abstractNumId w:val="33"/>
  </w:num>
  <w:num w:numId="16">
    <w:abstractNumId w:val="6"/>
  </w:num>
  <w:num w:numId="17">
    <w:abstractNumId w:val="4"/>
  </w:num>
  <w:num w:numId="18">
    <w:abstractNumId w:val="16"/>
  </w:num>
  <w:num w:numId="19">
    <w:abstractNumId w:val="29"/>
  </w:num>
  <w:num w:numId="20">
    <w:abstractNumId w:val="12"/>
  </w:num>
  <w:num w:numId="21">
    <w:abstractNumId w:val="19"/>
  </w:num>
  <w:num w:numId="22">
    <w:abstractNumId w:val="30"/>
  </w:num>
  <w:num w:numId="23">
    <w:abstractNumId w:val="21"/>
  </w:num>
  <w:num w:numId="24">
    <w:abstractNumId w:val="36"/>
  </w:num>
  <w:num w:numId="25">
    <w:abstractNumId w:val="22"/>
  </w:num>
  <w:num w:numId="26">
    <w:abstractNumId w:val="13"/>
  </w:num>
  <w:num w:numId="27">
    <w:abstractNumId w:val="10"/>
  </w:num>
  <w:num w:numId="28">
    <w:abstractNumId w:val="37"/>
  </w:num>
  <w:num w:numId="29">
    <w:abstractNumId w:val="24"/>
  </w:num>
  <w:num w:numId="30">
    <w:abstractNumId w:val="25"/>
  </w:num>
  <w:num w:numId="31">
    <w:abstractNumId w:val="20"/>
  </w:num>
  <w:num w:numId="32">
    <w:abstractNumId w:val="7"/>
  </w:num>
  <w:num w:numId="33">
    <w:abstractNumId w:val="23"/>
  </w:num>
  <w:num w:numId="34">
    <w:abstractNumId w:val="17"/>
  </w:num>
  <w:num w:numId="35">
    <w:abstractNumId w:val="34"/>
  </w:num>
  <w:num w:numId="36">
    <w:abstractNumId w:val="9"/>
  </w:num>
  <w:num w:numId="3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E1"/>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4D4"/>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753F"/>
    <w:rsid w:val="003C1C11"/>
    <w:rsid w:val="003C33A3"/>
    <w:rsid w:val="003C49DD"/>
    <w:rsid w:val="003D253A"/>
    <w:rsid w:val="003D4F7D"/>
    <w:rsid w:val="003D5F20"/>
    <w:rsid w:val="003D6D0C"/>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D322B"/>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85CF2"/>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4FE4"/>
    <w:rsid w:val="00A674BF"/>
    <w:rsid w:val="00A71AAE"/>
    <w:rsid w:val="00A74612"/>
    <w:rsid w:val="00A76C12"/>
    <w:rsid w:val="00A76D82"/>
    <w:rsid w:val="00A80D66"/>
    <w:rsid w:val="00A83ACC"/>
    <w:rsid w:val="00A85243"/>
    <w:rsid w:val="00A878F3"/>
    <w:rsid w:val="00A907B5"/>
    <w:rsid w:val="00A91757"/>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83E68"/>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A"/>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376E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071AC"/>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5F69-C032-4B78-9071-1AF1A5FF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35</Pages>
  <Words>7875</Words>
  <Characters>48603</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24</cp:revision>
  <cp:lastPrinted>2014-12-01T09:09:00Z</cp:lastPrinted>
  <dcterms:created xsi:type="dcterms:W3CDTF">2013-12-27T14:39:00Z</dcterms:created>
  <dcterms:modified xsi:type="dcterms:W3CDTF">2014-12-01T09:10:00Z</dcterms:modified>
</cp:coreProperties>
</file>