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FF" w:rsidRPr="003E2472" w:rsidRDefault="00A61BFF" w:rsidP="00A61BFF">
      <w:pPr>
        <w:jc w:val="center"/>
        <w:rPr>
          <w:b/>
          <w:bCs/>
        </w:rPr>
      </w:pPr>
      <w:r w:rsidRPr="003E2472">
        <w:rPr>
          <w:b/>
          <w:bCs/>
        </w:rPr>
        <w:t xml:space="preserve">ИЗМЕНА КОНКУРСНЕ ДОКУМЕНТАЦИЈЕ </w:t>
      </w:r>
      <w:r w:rsidR="00036A75">
        <w:rPr>
          <w:b/>
          <w:bCs/>
        </w:rPr>
        <w:t>2</w:t>
      </w:r>
      <w:bookmarkStart w:id="0" w:name="_GoBack"/>
      <w:bookmarkEnd w:id="0"/>
    </w:p>
    <w:p w:rsidR="00A61BFF" w:rsidRDefault="00A61BFF" w:rsidP="00A61BFF">
      <w:pPr>
        <w:rPr>
          <w:lang w:val="sr-Cyrl-RS"/>
        </w:rPr>
      </w:pPr>
    </w:p>
    <w:p w:rsidR="00B128DA" w:rsidRDefault="00B128DA" w:rsidP="00B128DA">
      <w:pPr>
        <w:jc w:val="center"/>
        <w:rPr>
          <w:i/>
          <w:lang w:val="sr-Cyrl-RS"/>
        </w:rPr>
      </w:pPr>
      <w:r w:rsidRPr="00B128DA">
        <w:rPr>
          <w:i/>
          <w:lang w:val="sr-Cyrl-RS"/>
        </w:rPr>
        <w:t>ТАЧКА 1.</w:t>
      </w:r>
    </w:p>
    <w:p w:rsidR="00B128DA" w:rsidRDefault="00A61BFF" w:rsidP="00A61BFF">
      <w:pPr>
        <w:pStyle w:val="Heading1"/>
        <w:rPr>
          <w:b w:val="0"/>
          <w:noProof/>
          <w:lang w:val="sr-Cyrl-RS"/>
        </w:rPr>
      </w:pPr>
      <w:r w:rsidRPr="00832091">
        <w:rPr>
          <w:b w:val="0"/>
          <w:noProof/>
        </w:rPr>
        <w:t>На страни</w:t>
      </w:r>
      <w:r w:rsidR="00B128DA">
        <w:rPr>
          <w:b w:val="0"/>
          <w:noProof/>
          <w:lang w:val="sr-Cyrl-RS"/>
        </w:rPr>
        <w:t xml:space="preserve"> </w:t>
      </w:r>
      <w:r w:rsidR="00B37B0D">
        <w:rPr>
          <w:b w:val="0"/>
          <w:noProof/>
          <w:lang w:val="sr-Latn-RS"/>
        </w:rPr>
        <w:t>27</w:t>
      </w:r>
      <w:r w:rsidRPr="00B128DA">
        <w:rPr>
          <w:b w:val="0"/>
          <w:noProof/>
        </w:rPr>
        <w:t xml:space="preserve"> конкурсне документације,</w:t>
      </w:r>
      <w:r w:rsidRPr="00832091">
        <w:rPr>
          <w:b w:val="0"/>
          <w:noProof/>
        </w:rPr>
        <w:t xml:space="preserve"> у поглављу </w:t>
      </w:r>
    </w:p>
    <w:p w:rsidR="00A61BFF" w:rsidRPr="00B128DA" w:rsidRDefault="009508D8" w:rsidP="00A61BFF">
      <w:pPr>
        <w:pStyle w:val="Heading1"/>
        <w:rPr>
          <w:b w:val="0"/>
          <w:lang w:val="sr-Cyrl-RS"/>
        </w:rPr>
      </w:pPr>
      <w:r>
        <w:rPr>
          <w:b w:val="0"/>
          <w:noProof/>
          <w:lang w:val="sr-Cyrl-RS"/>
        </w:rPr>
        <w:t>4</w:t>
      </w:r>
      <w:r w:rsidR="00A61BFF">
        <w:rPr>
          <w:b w:val="0"/>
          <w:noProof/>
          <w:lang w:val="sr-Cyrl-RS"/>
        </w:rPr>
        <w:t>.</w:t>
      </w:r>
      <w:r w:rsidR="00A61BFF" w:rsidRPr="00832091">
        <w:rPr>
          <w:b w:val="0"/>
          <w:noProof/>
        </w:rPr>
        <w:t xml:space="preserve"> </w:t>
      </w:r>
      <w:r w:rsidR="00B128DA" w:rsidRPr="00832091">
        <w:rPr>
          <w:b w:val="0"/>
          <w:szCs w:val="28"/>
        </w:rPr>
        <w:t>У</w:t>
      </w:r>
      <w:r w:rsidR="00B128DA" w:rsidRPr="00832091">
        <w:rPr>
          <w:b w:val="0"/>
          <w:szCs w:val="28"/>
          <w:lang w:val="sr-Cyrl-RS"/>
        </w:rPr>
        <w:t>СЛОВИ ЗА УЧЕШЋЕ У ПОСТУПКУ ЈАВНЕ НАБАВКЕ ИЗ ЧЛ. 75 И 76. ЗАКОНА И УПУТСТВО КАКО СЕ ДОКАЗУЈЕ ИСПУЊЕНОСТ ТИХ УСЛОВА</w:t>
      </w:r>
      <w:r w:rsidR="00B128DA">
        <w:rPr>
          <w:b w:val="0"/>
          <w:szCs w:val="28"/>
          <w:lang w:val="sr-Cyrl-RS"/>
        </w:rPr>
        <w:t>,</w:t>
      </w:r>
      <w:r w:rsidR="00A61BFF" w:rsidRPr="00832091">
        <w:rPr>
          <w:b w:val="0"/>
          <w:szCs w:val="28"/>
          <w:lang w:val="sr-Cyrl-RS"/>
        </w:rPr>
        <w:t xml:space="preserve"> </w:t>
      </w:r>
      <w:r w:rsidR="006D7F8E">
        <w:rPr>
          <w:szCs w:val="28"/>
          <w:lang w:val="sr-Cyrl-RS"/>
        </w:rPr>
        <w:t>тачка</w:t>
      </w:r>
      <w:r w:rsidRPr="00B128DA">
        <w:rPr>
          <w:szCs w:val="28"/>
          <w:lang w:val="sr-Cyrl-RS"/>
        </w:rPr>
        <w:t xml:space="preserve"> </w:t>
      </w:r>
      <w:r w:rsidR="00B37B0D">
        <w:rPr>
          <w:szCs w:val="28"/>
          <w:lang w:val="sr-Latn-RS"/>
        </w:rPr>
        <w:t>5</w:t>
      </w:r>
      <w:r w:rsidRPr="00B128DA">
        <w:rPr>
          <w:szCs w:val="28"/>
          <w:lang w:val="sr-Cyrl-RS"/>
        </w:rPr>
        <w:t xml:space="preserve">. </w:t>
      </w:r>
      <w:r w:rsidR="00B37B0D">
        <w:rPr>
          <w:szCs w:val="28"/>
          <w:lang w:val="sr-Cyrl-RS"/>
        </w:rPr>
        <w:t>се мења</w:t>
      </w:r>
      <w:r w:rsidR="006D7F8E">
        <w:rPr>
          <w:szCs w:val="28"/>
          <w:lang w:val="sr-Cyrl-RS"/>
        </w:rPr>
        <w:t xml:space="preserve"> и</w:t>
      </w:r>
    </w:p>
    <w:p w:rsidR="00A61BFF" w:rsidRPr="003E2472" w:rsidRDefault="00A61BFF" w:rsidP="00A61BFF">
      <w:pPr>
        <w:jc w:val="both"/>
        <w:rPr>
          <w:noProof/>
        </w:rPr>
      </w:pP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08"/>
        <w:gridCol w:w="5613"/>
      </w:tblGrid>
      <w:tr w:rsidR="00B37B0D" w:rsidRPr="0015418C" w:rsidTr="009508D8">
        <w:trPr>
          <w:trHeight w:val="1121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D" w:rsidRPr="00936A62" w:rsidRDefault="00B37B0D" w:rsidP="00B37B0D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D" w:rsidRPr="00D23D38" w:rsidRDefault="00B37B0D" w:rsidP="00B37B0D">
            <w:pPr>
              <w:jc w:val="both"/>
            </w:pPr>
            <w:r w:rsidRPr="00E66297">
              <w:rPr>
                <w:noProof/>
                <w:lang w:val="sr-Cyrl-CS"/>
              </w:rPr>
              <w:t>П</w:t>
            </w:r>
            <w:r w:rsidRPr="00E66297">
              <w:rPr>
                <w:noProof/>
              </w:rPr>
              <w:t xml:space="preserve">онуђач располаже неопходним финансијским капацитетом </w:t>
            </w:r>
            <w:r w:rsidRPr="00E66297">
              <w:rPr>
                <w:noProof/>
                <w:lang w:val="sr-Cyrl-CS"/>
              </w:rPr>
              <w:t xml:space="preserve">тј. </w:t>
            </w:r>
            <w:r w:rsidRPr="00E66297">
              <w:rPr>
                <w:noProof/>
              </w:rPr>
              <w:t xml:space="preserve">да </w:t>
            </w:r>
            <w:r w:rsidRPr="00E66297">
              <w:t xml:space="preserve">је остварио најмање </w:t>
            </w:r>
            <w:r w:rsidRPr="006F1E01">
              <w:rPr>
                <w:lang w:val="sr-Cyrl-CS"/>
              </w:rPr>
              <w:t>75</w:t>
            </w:r>
            <w:r w:rsidRPr="006F1E01">
              <w:t>.000.000,- дин. прихода у последње три године;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B0D" w:rsidRPr="007F32A3" w:rsidRDefault="00B37B0D" w:rsidP="00B37B0D">
            <w:pPr>
              <w:jc w:val="both"/>
              <w:rPr>
                <w:noProof/>
                <w:lang w:val="sr-Cyrl-CS"/>
              </w:rPr>
            </w:pPr>
            <w:r w:rsidRPr="007F32A3">
              <w:rPr>
                <w:iCs/>
                <w:lang w:val="sr-Cyrl-CS"/>
              </w:rPr>
              <w:t xml:space="preserve">Доказ за </w:t>
            </w:r>
            <w:r w:rsidRPr="007F32A3">
              <w:rPr>
                <w:b/>
                <w:iCs/>
                <w:lang w:val="sr-Cyrl-CS"/>
              </w:rPr>
              <w:t>правно лице / предузетнике / физичка лица:</w:t>
            </w:r>
          </w:p>
          <w:p w:rsidR="00B37B0D" w:rsidRPr="00D35C7A" w:rsidRDefault="00B37B0D" w:rsidP="00B37B0D">
            <w:pPr>
              <w:jc w:val="both"/>
              <w:rPr>
                <w:noProof/>
                <w:highlight w:val="yellow"/>
                <w:lang w:val="sr-Cyrl-CS"/>
              </w:rPr>
            </w:pPr>
            <w:r w:rsidRPr="007F32A3">
              <w:rPr>
                <w:noProof/>
                <w:lang w:val="sr-Cyrl-CS"/>
              </w:rPr>
              <w:t xml:space="preserve">Извештај о бонитету НБС (или АПР) или понуђачеви биланси стања и биланси успеха, или изводи из тих биланса, за претходне </w:t>
            </w:r>
            <w:r>
              <w:rPr>
                <w:noProof/>
                <w:lang w:val="sr-Cyrl-CS"/>
              </w:rPr>
              <w:t xml:space="preserve">три обрачунске године </w:t>
            </w:r>
            <w:r>
              <w:rPr>
                <w:noProof/>
              </w:rPr>
              <w:t>(201</w:t>
            </w:r>
            <w:r>
              <w:rPr>
                <w:noProof/>
                <w:lang w:val="sr-Cyrl-RS"/>
              </w:rPr>
              <w:t>1</w:t>
            </w:r>
            <w:r>
              <w:rPr>
                <w:noProof/>
              </w:rPr>
              <w:t>., 201</w:t>
            </w:r>
            <w:r>
              <w:rPr>
                <w:noProof/>
                <w:lang w:val="sr-Cyrl-RS"/>
              </w:rPr>
              <w:t>2</w:t>
            </w:r>
            <w:r>
              <w:rPr>
                <w:noProof/>
              </w:rPr>
              <w:t xml:space="preserve">. </w:t>
            </w:r>
            <w:r>
              <w:rPr>
                <w:noProof/>
                <w:lang w:val="sr-Cyrl-CS"/>
              </w:rPr>
              <w:t>и</w:t>
            </w:r>
            <w:r>
              <w:rPr>
                <w:noProof/>
              </w:rPr>
              <w:t xml:space="preserve"> 2013. </w:t>
            </w:r>
            <w:r>
              <w:rPr>
                <w:noProof/>
                <w:lang w:val="sr-Cyrl-CS"/>
              </w:rPr>
              <w:t>годину</w:t>
            </w:r>
            <w:r>
              <w:rPr>
                <w:noProof/>
              </w:rPr>
              <w:t>)</w:t>
            </w:r>
            <w:r>
              <w:rPr>
                <w:noProof/>
                <w:lang w:val="sr-Cyrl-CS"/>
              </w:rPr>
              <w:t>.</w:t>
            </w:r>
          </w:p>
        </w:tc>
      </w:tr>
    </w:tbl>
    <w:p w:rsidR="00B37B0D" w:rsidRDefault="006D7F8E" w:rsidP="00A61BFF">
      <w:pPr>
        <w:jc w:val="both"/>
        <w:rPr>
          <w:b/>
          <w:lang w:val="sr-Cyrl-RS"/>
        </w:rPr>
      </w:pPr>
      <w:r>
        <w:rPr>
          <w:b/>
          <w:lang w:val="sr-Cyrl-RS"/>
        </w:rPr>
        <w:t>Сада гласи:</w:t>
      </w: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08"/>
        <w:gridCol w:w="5613"/>
      </w:tblGrid>
      <w:tr w:rsidR="006D7F8E" w:rsidRPr="00D35C7A" w:rsidTr="006A5972">
        <w:trPr>
          <w:trHeight w:val="1121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8E" w:rsidRPr="00936A62" w:rsidRDefault="006D7F8E" w:rsidP="006A5972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8E" w:rsidRPr="00D23D38" w:rsidRDefault="006D7F8E" w:rsidP="006A5972">
            <w:pPr>
              <w:jc w:val="both"/>
            </w:pPr>
            <w:r w:rsidRPr="00E66297">
              <w:rPr>
                <w:noProof/>
                <w:lang w:val="sr-Cyrl-CS"/>
              </w:rPr>
              <w:t>П</w:t>
            </w:r>
            <w:r w:rsidRPr="00E66297">
              <w:rPr>
                <w:noProof/>
              </w:rPr>
              <w:t xml:space="preserve">онуђач располаже неопходним финансијским капацитетом </w:t>
            </w:r>
            <w:r w:rsidRPr="00E66297">
              <w:rPr>
                <w:noProof/>
                <w:lang w:val="sr-Cyrl-CS"/>
              </w:rPr>
              <w:t xml:space="preserve">тј. </w:t>
            </w:r>
            <w:r w:rsidRPr="00E66297">
              <w:rPr>
                <w:noProof/>
              </w:rPr>
              <w:t xml:space="preserve">да </w:t>
            </w:r>
            <w:r w:rsidRPr="00E66297">
              <w:t xml:space="preserve">је остварио најмање </w:t>
            </w:r>
            <w:r w:rsidRPr="006F1E01">
              <w:rPr>
                <w:lang w:val="sr-Cyrl-CS"/>
              </w:rPr>
              <w:t>75</w:t>
            </w:r>
            <w:r w:rsidRPr="006F1E01">
              <w:t>.000.000,- дин. прихода у последње три године;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7F8E" w:rsidRPr="007F32A3" w:rsidRDefault="006D7F8E" w:rsidP="006A5972">
            <w:pPr>
              <w:jc w:val="both"/>
              <w:rPr>
                <w:noProof/>
                <w:lang w:val="sr-Cyrl-CS"/>
              </w:rPr>
            </w:pPr>
            <w:r w:rsidRPr="007F32A3">
              <w:rPr>
                <w:iCs/>
                <w:lang w:val="sr-Cyrl-CS"/>
              </w:rPr>
              <w:t xml:space="preserve">Доказ за </w:t>
            </w:r>
            <w:r w:rsidRPr="007F32A3">
              <w:rPr>
                <w:b/>
                <w:iCs/>
                <w:lang w:val="sr-Cyrl-CS"/>
              </w:rPr>
              <w:t>правно лице / предузетнике / физичка лица:</w:t>
            </w:r>
          </w:p>
          <w:p w:rsidR="006D7F8E" w:rsidRPr="00D35C7A" w:rsidRDefault="006D7F8E" w:rsidP="006D7F8E">
            <w:pPr>
              <w:jc w:val="both"/>
              <w:rPr>
                <w:noProof/>
                <w:highlight w:val="yellow"/>
                <w:lang w:val="sr-Cyrl-CS"/>
              </w:rPr>
            </w:pPr>
            <w:r w:rsidRPr="007F32A3">
              <w:rPr>
                <w:noProof/>
                <w:lang w:val="sr-Cyrl-CS"/>
              </w:rPr>
              <w:t xml:space="preserve">Извештај о бонитету НБС (или АПР) или понуђачеви биланси стања и биланси успеха, или изводи из тих биланса, за претходне </w:t>
            </w:r>
            <w:r>
              <w:rPr>
                <w:noProof/>
                <w:lang w:val="sr-Cyrl-CS"/>
              </w:rPr>
              <w:t xml:space="preserve">три обрачунске године </w:t>
            </w:r>
            <w:r>
              <w:rPr>
                <w:noProof/>
              </w:rPr>
              <w:t>(201</w:t>
            </w:r>
            <w:r>
              <w:rPr>
                <w:noProof/>
                <w:lang w:val="sr-Cyrl-RS"/>
              </w:rPr>
              <w:t>2</w:t>
            </w:r>
            <w:r>
              <w:rPr>
                <w:noProof/>
              </w:rPr>
              <w:t>., 201</w:t>
            </w:r>
            <w:r>
              <w:rPr>
                <w:noProof/>
                <w:lang w:val="sr-Cyrl-RS"/>
              </w:rPr>
              <w:t>3</w:t>
            </w:r>
            <w:r>
              <w:rPr>
                <w:noProof/>
              </w:rPr>
              <w:t xml:space="preserve">. </w:t>
            </w:r>
            <w:r>
              <w:rPr>
                <w:noProof/>
                <w:lang w:val="sr-Cyrl-CS"/>
              </w:rPr>
              <w:t>и</w:t>
            </w:r>
            <w:r>
              <w:rPr>
                <w:noProof/>
              </w:rPr>
              <w:t xml:space="preserve"> 201</w:t>
            </w:r>
            <w:r>
              <w:rPr>
                <w:noProof/>
                <w:lang w:val="sr-Cyrl-RS"/>
              </w:rPr>
              <w:t>4</w:t>
            </w:r>
            <w:r>
              <w:rPr>
                <w:noProof/>
              </w:rPr>
              <w:t xml:space="preserve">. </w:t>
            </w:r>
            <w:r>
              <w:rPr>
                <w:noProof/>
                <w:lang w:val="sr-Cyrl-CS"/>
              </w:rPr>
              <w:t>годину</w:t>
            </w:r>
            <w:r>
              <w:rPr>
                <w:noProof/>
              </w:rPr>
              <w:t>)</w:t>
            </w:r>
            <w:r>
              <w:rPr>
                <w:noProof/>
                <w:lang w:val="sr-Cyrl-CS"/>
              </w:rPr>
              <w:t>.</w:t>
            </w:r>
          </w:p>
        </w:tc>
      </w:tr>
    </w:tbl>
    <w:p w:rsidR="00B37B0D" w:rsidRDefault="00B37B0D" w:rsidP="00A61BFF">
      <w:pPr>
        <w:jc w:val="both"/>
        <w:rPr>
          <w:b/>
          <w:lang w:val="sr-Cyrl-RS"/>
        </w:rPr>
      </w:pPr>
    </w:p>
    <w:p w:rsidR="00B128DA" w:rsidRDefault="00B128DA" w:rsidP="00B128DA">
      <w:pPr>
        <w:jc w:val="center"/>
        <w:rPr>
          <w:i/>
          <w:lang w:val="sr-Cyrl-RS"/>
        </w:rPr>
      </w:pPr>
      <w:r w:rsidRPr="00B128DA">
        <w:rPr>
          <w:i/>
          <w:lang w:val="sr-Cyrl-RS"/>
        </w:rPr>
        <w:t>ТАЧКА 2.</w:t>
      </w:r>
    </w:p>
    <w:p w:rsidR="006D7F8E" w:rsidRDefault="006D7F8E" w:rsidP="00B128DA">
      <w:pPr>
        <w:jc w:val="center"/>
        <w:rPr>
          <w:i/>
          <w:lang w:val="sr-Cyrl-RS"/>
        </w:rPr>
      </w:pPr>
    </w:p>
    <w:p w:rsidR="006D7F8E" w:rsidRDefault="006D7F8E" w:rsidP="006D7F8E">
      <w:pPr>
        <w:pStyle w:val="Heading1"/>
        <w:rPr>
          <w:b w:val="0"/>
          <w:noProof/>
          <w:lang w:val="sr-Cyrl-RS"/>
        </w:rPr>
      </w:pPr>
      <w:r w:rsidRPr="00832091">
        <w:rPr>
          <w:b w:val="0"/>
          <w:noProof/>
        </w:rPr>
        <w:t>На страни</w:t>
      </w:r>
      <w:r>
        <w:rPr>
          <w:b w:val="0"/>
          <w:noProof/>
          <w:lang w:val="sr-Cyrl-RS"/>
        </w:rPr>
        <w:t xml:space="preserve"> </w:t>
      </w:r>
      <w:r>
        <w:rPr>
          <w:b w:val="0"/>
          <w:noProof/>
          <w:lang w:val="sr-Latn-RS"/>
        </w:rPr>
        <w:t>2</w:t>
      </w:r>
      <w:r>
        <w:rPr>
          <w:b w:val="0"/>
          <w:noProof/>
          <w:lang w:val="sr-Cyrl-RS"/>
        </w:rPr>
        <w:t>8</w:t>
      </w:r>
      <w:r w:rsidRPr="00B128DA">
        <w:rPr>
          <w:b w:val="0"/>
          <w:noProof/>
        </w:rPr>
        <w:t xml:space="preserve"> конкурсне документације,</w:t>
      </w:r>
      <w:r w:rsidRPr="00832091">
        <w:rPr>
          <w:b w:val="0"/>
          <w:noProof/>
        </w:rPr>
        <w:t xml:space="preserve"> у поглављу </w:t>
      </w:r>
      <w:r>
        <w:rPr>
          <w:b w:val="0"/>
          <w:noProof/>
          <w:lang w:val="sr-Cyrl-RS"/>
        </w:rPr>
        <w:t>из претходне тачке</w:t>
      </w:r>
    </w:p>
    <w:p w:rsidR="006D7F8E" w:rsidRPr="006D7F8E" w:rsidRDefault="006D7F8E" w:rsidP="006D7F8E">
      <w:pPr>
        <w:rPr>
          <w:lang w:val="sr-Cyrl-RS"/>
        </w:rPr>
      </w:pPr>
      <w:r>
        <w:rPr>
          <w:lang w:val="sr-Cyrl-RS"/>
        </w:rPr>
        <w:t xml:space="preserve">Се мења и </w:t>
      </w:r>
    </w:p>
    <w:p w:rsidR="006D7F8E" w:rsidRPr="006D7F8E" w:rsidRDefault="006D7F8E" w:rsidP="006D7F8E">
      <w:pPr>
        <w:numPr>
          <w:ilvl w:val="0"/>
          <w:numId w:val="10"/>
        </w:numPr>
        <w:contextualSpacing/>
        <w:jc w:val="both"/>
        <w:rPr>
          <w:b/>
          <w:bCs/>
          <w:iCs/>
          <w:lang w:val="sr-Cyrl-CS"/>
        </w:rPr>
      </w:pPr>
      <w:r w:rsidRPr="006D7F8E">
        <w:rPr>
          <w:b/>
          <w:bCs/>
          <w:iCs/>
          <w:u w:val="single"/>
          <w:lang w:val="sr-Cyrl-CS"/>
        </w:rPr>
        <w:t>Уколико понуђач подноси понуду са подизвођачем</w:t>
      </w:r>
      <w:r w:rsidRPr="006D7F8E">
        <w:rPr>
          <w:bCs/>
          <w:iCs/>
          <w:lang w:val="sr-Cyrl-CS"/>
        </w:rPr>
        <w:t>, понуђач је дужан да за подизвођача достави доказе да испуњава услове из члана 75. став 1. тач. 1) до 4) Закона.</w:t>
      </w:r>
    </w:p>
    <w:p w:rsidR="006D7F8E" w:rsidRPr="006D7F8E" w:rsidRDefault="006D7F8E" w:rsidP="006D7F8E">
      <w:pPr>
        <w:ind w:left="405"/>
        <w:jc w:val="both"/>
        <w:rPr>
          <w:b/>
          <w:bCs/>
          <w:iCs/>
          <w:lang w:val="sr-Cyrl-CS"/>
        </w:rPr>
      </w:pPr>
      <w:r w:rsidRPr="006D7F8E">
        <w:rPr>
          <w:b/>
          <w:bCs/>
          <w:iCs/>
          <w:lang w:val="sr-Cyrl-CS"/>
        </w:rPr>
        <w:t>Додатне услове понуђач са подизвођачем испуњава заједно.</w:t>
      </w:r>
    </w:p>
    <w:p w:rsidR="006D7F8E" w:rsidRDefault="006D7F8E" w:rsidP="006D7F8E">
      <w:pPr>
        <w:rPr>
          <w:lang w:val="sr-Cyrl-RS"/>
        </w:rPr>
      </w:pPr>
    </w:p>
    <w:p w:rsidR="006D7F8E" w:rsidRDefault="006D7F8E" w:rsidP="006D7F8E">
      <w:pPr>
        <w:rPr>
          <w:lang w:val="sr-Cyrl-RS"/>
        </w:rPr>
      </w:pPr>
      <w:r>
        <w:rPr>
          <w:lang w:val="sr-Cyrl-RS"/>
        </w:rPr>
        <w:t>Измењена гласи:</w:t>
      </w:r>
    </w:p>
    <w:p w:rsidR="006D7F8E" w:rsidRPr="006D7F8E" w:rsidRDefault="006D7F8E" w:rsidP="006D7F8E">
      <w:pPr>
        <w:numPr>
          <w:ilvl w:val="0"/>
          <w:numId w:val="10"/>
        </w:numPr>
        <w:contextualSpacing/>
        <w:jc w:val="both"/>
        <w:rPr>
          <w:b/>
          <w:bCs/>
          <w:iCs/>
          <w:lang w:val="sr-Cyrl-CS"/>
        </w:rPr>
      </w:pPr>
      <w:r w:rsidRPr="006D7F8E">
        <w:rPr>
          <w:b/>
          <w:bCs/>
          <w:iCs/>
          <w:u w:val="single"/>
          <w:lang w:val="sr-Cyrl-CS"/>
        </w:rPr>
        <w:t>Уколико понуђач подноси понуду са подизвођачем</w:t>
      </w:r>
      <w:r w:rsidRPr="006D7F8E">
        <w:rPr>
          <w:bCs/>
          <w:iCs/>
          <w:lang w:val="sr-Cyrl-CS"/>
        </w:rPr>
        <w:t>, понуђач је дужан да за подизвођача достави доказе да испуњава услове из члана 75. став 1. тач. 1) до 4) Закона.</w:t>
      </w:r>
    </w:p>
    <w:p w:rsidR="006D7F8E" w:rsidRDefault="006D7F8E" w:rsidP="006D7F8E">
      <w:pPr>
        <w:rPr>
          <w:lang w:val="sr-Cyrl-RS"/>
        </w:rPr>
      </w:pPr>
    </w:p>
    <w:p w:rsidR="006562F0" w:rsidRDefault="006562F0" w:rsidP="006562F0">
      <w:pPr>
        <w:jc w:val="both"/>
        <w:rPr>
          <w:lang w:val="sr-Cyrl-RS"/>
        </w:rPr>
      </w:pPr>
    </w:p>
    <w:p w:rsidR="006562F0" w:rsidRDefault="006562F0" w:rsidP="00FB1EB6">
      <w:pPr>
        <w:pStyle w:val="ListParagraph"/>
        <w:ind w:left="5760" w:firstLine="720"/>
      </w:pPr>
      <w:r w:rsidRPr="00F178A1">
        <w:t>С поштовањем,</w:t>
      </w:r>
    </w:p>
    <w:p w:rsidR="006562F0" w:rsidRDefault="00B128DA" w:rsidP="00FB1EB6">
      <w:pPr>
        <w:ind w:left="5040" w:firstLine="720"/>
      </w:pPr>
      <w:r>
        <w:rPr>
          <w:lang w:val="sr-Cyrl-RS"/>
        </w:rPr>
        <w:t xml:space="preserve">  </w:t>
      </w:r>
      <w:r w:rsidR="006562F0" w:rsidRPr="00F178A1">
        <w:t>Комисија за јавну наба</w:t>
      </w:r>
      <w:r w:rsidR="006562F0">
        <w:t>в</w:t>
      </w:r>
      <w:r w:rsidR="006562F0" w:rsidRPr="00F178A1">
        <w:t>ку</w:t>
      </w:r>
    </w:p>
    <w:p w:rsidR="00B128DA" w:rsidRDefault="00B128DA" w:rsidP="006562F0">
      <w:pPr>
        <w:pStyle w:val="ListParagraph"/>
        <w:ind w:left="6480"/>
        <w:jc w:val="center"/>
        <w:rPr>
          <w:lang w:val="sr-Cyrl-RS"/>
        </w:rPr>
      </w:pPr>
    </w:p>
    <w:p w:rsidR="006562F0" w:rsidRPr="009508D8" w:rsidRDefault="006D7F8E" w:rsidP="006562F0">
      <w:pPr>
        <w:pStyle w:val="ListParagraph"/>
        <w:ind w:left="6480"/>
        <w:jc w:val="center"/>
        <w:rPr>
          <w:noProof/>
          <w:lang w:val="sr-Cyrl-RS"/>
        </w:rPr>
      </w:pPr>
      <w:r>
        <w:rPr>
          <w:noProof/>
          <w:lang w:val="sr-Cyrl-RS"/>
        </w:rPr>
        <w:t>273-14-О</w:t>
      </w:r>
    </w:p>
    <w:p w:rsidR="006562F0" w:rsidRDefault="006562F0" w:rsidP="006562F0">
      <w:pPr>
        <w:jc w:val="both"/>
        <w:rPr>
          <w:lang w:val="sr-Cyrl-RS"/>
        </w:rPr>
      </w:pPr>
    </w:p>
    <w:sectPr w:rsidR="006562F0" w:rsidSect="00FF2885">
      <w:headerReference w:type="default" r:id="rId8"/>
      <w:pgSz w:w="11907" w:h="16839" w:code="9"/>
      <w:pgMar w:top="1531" w:right="1418" w:bottom="153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0D" w:rsidRDefault="00B37B0D" w:rsidP="002F2013">
      <w:r>
        <w:separator/>
      </w:r>
    </w:p>
  </w:endnote>
  <w:endnote w:type="continuationSeparator" w:id="0">
    <w:p w:rsidR="00B37B0D" w:rsidRDefault="00B37B0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0D" w:rsidRDefault="00B37B0D" w:rsidP="002F2013">
      <w:r>
        <w:separator/>
      </w:r>
    </w:p>
  </w:footnote>
  <w:footnote w:type="continuationSeparator" w:id="0">
    <w:p w:rsidR="00B37B0D" w:rsidRDefault="00B37B0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0D" w:rsidRPr="002F2013" w:rsidRDefault="00036A7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200250" r:id="rId2"/>
      </w:pict>
    </w:r>
    <w:r w:rsidR="00B37B0D" w:rsidRPr="002F2013">
      <w:rPr>
        <w:sz w:val="32"/>
        <w:lang w:val="sr-Cyrl-CS"/>
      </w:rPr>
      <w:t>КЛИНИЧКИ ЦЕНТАР ВОЈВОДИНЕ</w:t>
    </w:r>
  </w:p>
  <w:p w:rsidR="00B37B0D" w:rsidRPr="002F2013" w:rsidRDefault="00B37B0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37B0D" w:rsidRPr="00BA3695" w:rsidRDefault="00B37B0D" w:rsidP="002F2013">
    <w:pPr>
      <w:jc w:val="center"/>
      <w:rPr>
        <w:sz w:val="8"/>
        <w:lang w:val="hr-HR"/>
      </w:rPr>
    </w:pPr>
  </w:p>
  <w:p w:rsidR="00B37B0D" w:rsidRPr="00BA3695" w:rsidRDefault="00B37B0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37B0D" w:rsidRPr="00BA3695" w:rsidRDefault="00B37B0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37B0D" w:rsidRDefault="00036A7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37B0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37B0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37B0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37B0D" w:rsidRPr="00BA3695" w:rsidRDefault="00036A7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765870"/>
    <w:multiLevelType w:val="multilevel"/>
    <w:tmpl w:val="04A69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3C3B8B"/>
    <w:multiLevelType w:val="multilevel"/>
    <w:tmpl w:val="0CFC5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6A75"/>
    <w:rsid w:val="00047E6E"/>
    <w:rsid w:val="0006124F"/>
    <w:rsid w:val="000D6BBB"/>
    <w:rsid w:val="0010366B"/>
    <w:rsid w:val="00114D87"/>
    <w:rsid w:val="00125404"/>
    <w:rsid w:val="001413B5"/>
    <w:rsid w:val="001C3202"/>
    <w:rsid w:val="001C3539"/>
    <w:rsid w:val="00210035"/>
    <w:rsid w:val="002341EE"/>
    <w:rsid w:val="002C34F9"/>
    <w:rsid w:val="002E5990"/>
    <w:rsid w:val="002F2013"/>
    <w:rsid w:val="002F2CCD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17690"/>
    <w:rsid w:val="00430A42"/>
    <w:rsid w:val="004A4EAB"/>
    <w:rsid w:val="004D04E4"/>
    <w:rsid w:val="004D7FA7"/>
    <w:rsid w:val="004F1728"/>
    <w:rsid w:val="004F2BE8"/>
    <w:rsid w:val="00504D02"/>
    <w:rsid w:val="00596140"/>
    <w:rsid w:val="005977B9"/>
    <w:rsid w:val="005E5AAE"/>
    <w:rsid w:val="005F1963"/>
    <w:rsid w:val="005F7061"/>
    <w:rsid w:val="005F76A1"/>
    <w:rsid w:val="00603BFE"/>
    <w:rsid w:val="00632229"/>
    <w:rsid w:val="00647299"/>
    <w:rsid w:val="00652B7F"/>
    <w:rsid w:val="006562F0"/>
    <w:rsid w:val="00661DA0"/>
    <w:rsid w:val="0066288A"/>
    <w:rsid w:val="006879B0"/>
    <w:rsid w:val="0069520E"/>
    <w:rsid w:val="006B5F9F"/>
    <w:rsid w:val="006D7F8E"/>
    <w:rsid w:val="006E0765"/>
    <w:rsid w:val="007008F6"/>
    <w:rsid w:val="00722711"/>
    <w:rsid w:val="00725D6C"/>
    <w:rsid w:val="007262B3"/>
    <w:rsid w:val="00776BD6"/>
    <w:rsid w:val="007A2B04"/>
    <w:rsid w:val="007A58FB"/>
    <w:rsid w:val="007A6455"/>
    <w:rsid w:val="007B23D8"/>
    <w:rsid w:val="007B7540"/>
    <w:rsid w:val="007B7DB2"/>
    <w:rsid w:val="007E0A67"/>
    <w:rsid w:val="007E51A5"/>
    <w:rsid w:val="00835C92"/>
    <w:rsid w:val="0084453B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08D8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1BFF"/>
    <w:rsid w:val="00A63C25"/>
    <w:rsid w:val="00A73084"/>
    <w:rsid w:val="00A74E5F"/>
    <w:rsid w:val="00A769F9"/>
    <w:rsid w:val="00AA1F6A"/>
    <w:rsid w:val="00AD4FEC"/>
    <w:rsid w:val="00AD71E6"/>
    <w:rsid w:val="00B128DA"/>
    <w:rsid w:val="00B218AC"/>
    <w:rsid w:val="00B301AC"/>
    <w:rsid w:val="00B37B0D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1795F"/>
    <w:rsid w:val="00C30EA6"/>
    <w:rsid w:val="00C438BF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B1EB6"/>
    <w:rsid w:val="00FB5896"/>
    <w:rsid w:val="00FF128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6455"/>
  </w:style>
  <w:style w:type="character" w:styleId="Emphasis">
    <w:name w:val="Emphasis"/>
    <w:basedOn w:val="DefaultParagraphFont"/>
    <w:uiPriority w:val="20"/>
    <w:qFormat/>
    <w:rsid w:val="007A645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76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769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2015-05-15T11:04:00Z</dcterms:modified>
</cp:coreProperties>
</file>