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6288123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8B15FE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B15FE">
        <w:rPr>
          <w:rFonts w:ascii="Times New Roman" w:eastAsia="Times New Roman" w:hAnsi="Times New Roman"/>
          <w:noProof/>
          <w:sz w:val="24"/>
          <w:szCs w:val="24"/>
          <w:lang w:val="sr-Latn-RS"/>
        </w:rPr>
        <w:t>13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8B15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B15FE">
        <w:rPr>
          <w:rFonts w:ascii="Times New Roman" w:eastAsia="Times New Roman" w:hAnsi="Times New Roman"/>
          <w:noProof/>
          <w:sz w:val="24"/>
          <w:szCs w:val="24"/>
          <w:lang w:val="sr-Latn-RS"/>
        </w:rPr>
        <w:t>24.02.2015.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500AB5" w:rsidRDefault="008B15FE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  <w:lang w:val="sr-Cyrl-RS"/>
        </w:rPr>
        <w:t>13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8B15FE">
        <w:rPr>
          <w:b/>
          <w:lang w:val="sr-Cyrl-CS"/>
        </w:rPr>
        <w:t>Набавка потрошног материјала за потребе Центра за судску медицину, токсикологију и молекуларну генетику у оквиру Клиничког центра Војводине</w:t>
      </w:r>
    </w:p>
    <w:p w:rsidR="00732ACD" w:rsidRDefault="00732ACD" w:rsidP="00D27E24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F437F7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ПОТЕНЦИЈАЛНОГ ПОНУЂАЧА:</w:t>
      </w:r>
    </w:p>
    <w:p w:rsidR="00732ACD" w:rsidRPr="008B15FE" w:rsidRDefault="00732ACD" w:rsidP="008B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  <w:r w:rsidRPr="001340D8">
        <w:rPr>
          <w:rFonts w:ascii="Times New Roman" w:eastAsia="Times New Roman" w:hAnsi="Times New Roman"/>
          <w:noProof/>
          <w:sz w:val="24"/>
          <w:lang w:val="sr-Cyrl-RS" w:eastAsia="sr-Cyrl-RS"/>
        </w:rPr>
        <w:t>„</w:t>
      </w:r>
      <w:r w:rsidR="008B15FE">
        <w:rPr>
          <w:rFonts w:ascii="Times New Roman" w:eastAsia="Times New Roman" w:hAnsi="Times New Roman"/>
          <w:noProof/>
          <w:sz w:val="24"/>
          <w:lang w:val="sr-Cyrl-RS" w:eastAsia="sr-Cyrl-RS"/>
        </w:rPr>
        <w:t>На страни 9 КД, под тачком 9. У делу „Додатни услови за учешће у поступку јавне набавке из чл. 76 ЗЈН-а“ између осталог захтевате и поседовање уговора о заступању или овлашћење. Молимо Вас да нам појасните да ли је потребно доставити овлашћење издато од стане произвођача за конкретну јн издато на меморандуму произвођача</w:t>
      </w:r>
      <w:r w:rsidR="00432CDE">
        <w:rPr>
          <w:rFonts w:ascii="Times New Roman" w:eastAsia="Times New Roman" w:hAnsi="Times New Roman"/>
          <w:noProof/>
          <w:sz w:val="24"/>
          <w:lang w:val="sr-Cyrl-RS" w:eastAsia="sr-Cyrl-RS"/>
        </w:rPr>
        <w:t xml:space="preserve"> или опште овлашћење произвођача за целу годину?“</w:t>
      </w:r>
    </w:p>
    <w:p w:rsidR="00732ACD" w:rsidRPr="00FE50B4" w:rsidRDefault="00732ACD" w:rsidP="008B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32CDE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КЦВ-А НА ПИТАЊЕ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p w:rsidR="00EB0087" w:rsidRDefault="00432CDE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Довољно је доставити опште овлашћење произвођача.</w:t>
      </w:r>
    </w:p>
    <w:p w:rsidR="00432CDE" w:rsidRDefault="00432CDE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32CDE" w:rsidRPr="00454EA6" w:rsidRDefault="00432CDE" w:rsidP="00432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Е ПОТЕНЦИЈАЛНОГ ПОНУЂАЧА:</w:t>
      </w:r>
    </w:p>
    <w:p w:rsidR="00432CDE" w:rsidRDefault="00432CDE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Молимо да доставите детаљну спецификацију партије 2. предметне јавне набавке која се односи на кит за резервну транскрипцију.</w:t>
      </w:r>
    </w:p>
    <w:p w:rsidR="00432CDE" w:rsidRDefault="00432CDE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32CDE" w:rsidRDefault="00432CDE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ОДГОВОРИ КЦВ-А НА ПИТАЊЕ</w:t>
      </w:r>
      <w:r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p w:rsidR="00432CDE" w:rsidRPr="00432CDE" w:rsidRDefault="00432CDE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proofErr w:type="gram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Kit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prevođenje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ukupne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RNK u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jednolančanu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cDNK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jednoj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reakciji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Dobijena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cDNK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treba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bude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pogodna</w:t>
      </w:r>
      <w:proofErr w:type="spellEnd"/>
      <w:proofErr w:type="gram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32CDE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proofErr w:type="gram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umnožavanje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analizu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32CDE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Real-Time PCR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instrumentu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Dobijanje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cDNK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ukupne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RNK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treba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bude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obezbeđeno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korišćenjem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nasumičnih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gram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random ”</w:t>
      </w:r>
      <w:proofErr w:type="gram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prajmera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Kit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treba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bude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dovoljan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izvođenje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najmanje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150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reakcija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zapremine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 </w:t>
      </w:r>
      <w:proofErr w:type="spellStart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μl</w:t>
      </w:r>
      <w:proofErr w:type="spellEnd"/>
      <w:r w:rsidRPr="00432CD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68677D" w:rsidRPr="00637E9A" w:rsidRDefault="0068677D" w:rsidP="00637E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8677D" w:rsidRDefault="0068677D" w:rsidP="006867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bookmarkStart w:id="0" w:name="_GoBack"/>
      <w:bookmarkEnd w:id="0"/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32CDE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13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6C" w:rsidRDefault="0096046C" w:rsidP="00332FD7">
      <w:pPr>
        <w:spacing w:after="0" w:line="240" w:lineRule="auto"/>
      </w:pPr>
      <w:r>
        <w:separator/>
      </w:r>
    </w:p>
  </w:endnote>
  <w:endnote w:type="continuationSeparator" w:id="0">
    <w:p w:rsidR="0096046C" w:rsidRDefault="0096046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6046C" w:rsidRDefault="0096046C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474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474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6046C" w:rsidRDefault="0096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6C" w:rsidRDefault="0096046C" w:rsidP="00332FD7">
      <w:pPr>
        <w:spacing w:after="0" w:line="240" w:lineRule="auto"/>
      </w:pPr>
      <w:r>
        <w:separator/>
      </w:r>
    </w:p>
  </w:footnote>
  <w:footnote w:type="continuationSeparator" w:id="0">
    <w:p w:rsidR="0096046C" w:rsidRDefault="0096046C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E4F39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32CDE"/>
    <w:rsid w:val="00454EA6"/>
    <w:rsid w:val="00456854"/>
    <w:rsid w:val="004C3897"/>
    <w:rsid w:val="004C4574"/>
    <w:rsid w:val="004C7BFA"/>
    <w:rsid w:val="004E333C"/>
    <w:rsid w:val="00500AB5"/>
    <w:rsid w:val="00507506"/>
    <w:rsid w:val="00510D26"/>
    <w:rsid w:val="00536C8E"/>
    <w:rsid w:val="00540E9F"/>
    <w:rsid w:val="00562E11"/>
    <w:rsid w:val="00597C5D"/>
    <w:rsid w:val="005B4E5F"/>
    <w:rsid w:val="005B4F09"/>
    <w:rsid w:val="005E03DD"/>
    <w:rsid w:val="00637E9A"/>
    <w:rsid w:val="00651E25"/>
    <w:rsid w:val="00675187"/>
    <w:rsid w:val="00686664"/>
    <w:rsid w:val="0068677D"/>
    <w:rsid w:val="006A1A72"/>
    <w:rsid w:val="006A5427"/>
    <w:rsid w:val="0070565C"/>
    <w:rsid w:val="00726103"/>
    <w:rsid w:val="00732ACD"/>
    <w:rsid w:val="007414E1"/>
    <w:rsid w:val="00761FD7"/>
    <w:rsid w:val="00776A0C"/>
    <w:rsid w:val="00827C44"/>
    <w:rsid w:val="00852460"/>
    <w:rsid w:val="00860412"/>
    <w:rsid w:val="008B15FE"/>
    <w:rsid w:val="0096046C"/>
    <w:rsid w:val="009774F8"/>
    <w:rsid w:val="00982125"/>
    <w:rsid w:val="009C320E"/>
    <w:rsid w:val="009D55E5"/>
    <w:rsid w:val="00A14F12"/>
    <w:rsid w:val="00A26381"/>
    <w:rsid w:val="00A27D57"/>
    <w:rsid w:val="00A4749C"/>
    <w:rsid w:val="00A65595"/>
    <w:rsid w:val="00A671B6"/>
    <w:rsid w:val="00A70240"/>
    <w:rsid w:val="00A87565"/>
    <w:rsid w:val="00AA07BB"/>
    <w:rsid w:val="00AE00CD"/>
    <w:rsid w:val="00B02191"/>
    <w:rsid w:val="00B8514D"/>
    <w:rsid w:val="00B85D72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E6412-1730-4517-B01D-BAC26DE7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23</cp:revision>
  <cp:lastPrinted>2015-02-24T11:57:00Z</cp:lastPrinted>
  <dcterms:created xsi:type="dcterms:W3CDTF">2015-01-21T08:21:00Z</dcterms:created>
  <dcterms:modified xsi:type="dcterms:W3CDTF">2015-02-24T12:02:00Z</dcterms:modified>
</cp:coreProperties>
</file>