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7" w:rsidRDefault="00CE4FE7" w:rsidP="00CE4FE7">
      <w:pPr>
        <w:rPr>
          <w:b/>
          <w:lang w:val="sr-Cyrl-RS"/>
        </w:rPr>
      </w:pPr>
      <w:r>
        <w:rPr>
          <w:b/>
          <w:lang w:val="sr-Cyrl-RS"/>
        </w:rPr>
        <w:t>Дана: 28.04.2017.</w:t>
      </w:r>
    </w:p>
    <w:p w:rsidR="00CE62B1" w:rsidRPr="00836C94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836C94">
        <w:rPr>
          <w:b/>
          <w:lang w:val="sr-Latn-RS"/>
        </w:rPr>
        <w:t>2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782EB3" w:rsidRDefault="00782EB3" w:rsidP="00CE62B1">
      <w:pPr>
        <w:rPr>
          <w:b/>
          <w:lang w:val="sr-Cyrl-RS"/>
        </w:rPr>
      </w:pPr>
    </w:p>
    <w:p w:rsidR="00CE62B1" w:rsidRDefault="00CE62B1" w:rsidP="00CE62B1">
      <w:pPr>
        <w:jc w:val="center"/>
        <w:rPr>
          <w:b/>
          <w:lang w:val="sr-Cyrl-RS"/>
        </w:rPr>
      </w:pPr>
    </w:p>
    <w:p w:rsidR="00836C94" w:rsidRDefault="00836C94" w:rsidP="00836C94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Poštovani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</w:t>
      </w:r>
    </w:p>
    <w:p w:rsidR="00836C94" w:rsidRDefault="00836C94" w:rsidP="00836C94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36C94" w:rsidRDefault="00836C94" w:rsidP="00836C94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vezi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br. 34-17-O,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molim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odgovorite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sledeće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određene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skladu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ZJN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Vašim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interesima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:</w:t>
      </w:r>
    </w:p>
    <w:p w:rsidR="00836C94" w:rsidRDefault="00836C94" w:rsidP="00836C94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36C94" w:rsidRDefault="00836C94" w:rsidP="00836C94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Zakonu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nabavkama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član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75.,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stav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1.,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5),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dužan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važeću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dozvolu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nadležnog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organa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obavljanje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delatnosti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takva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dozvola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predviđena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posebnim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propisom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konkretnom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slučaju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predstavljaju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fizičko-tehničke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imovine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bolnički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intercom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). Na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osnovu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zakona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privatnom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obezbeđenju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(Sl.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glasnik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RS, br. 104/13 i 42/15)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obavljanje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delatnosti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predviđene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posebne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dozvole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nadležnog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organa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konkretno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slučaju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licenca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fizičko-tehničke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imovine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licenca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montaže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puštanja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rad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i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održavanja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>,</w:t>
      </w:r>
      <w:r>
        <w:rPr>
          <w:rStyle w:val="apple-converted-space"/>
          <w:rFonts w:ascii="Calibri" w:hAnsi="Calibri" w:cs="Calibri"/>
          <w:color w:val="333333"/>
          <w:sz w:val="22"/>
          <w:szCs w:val="22"/>
          <w:u w:val="single"/>
        </w:rPr>
        <w:t> 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korisnika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izdaje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Ministarstvo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unutrašnjih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Republike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Srbije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Ukazujemo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činjenicu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obaveznih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će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zahtevati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posedovanje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važećih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dozvola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nadležnog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organa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obavljanje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delatnosti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odnosno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posedovanje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licence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fizičko-tehničke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imovine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licence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montaže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puštanja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rad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korisnika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izdate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strane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MUP-a,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tome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tražiti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svoju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kopije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licenci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p w:rsidR="00836C94" w:rsidRDefault="00836C94" w:rsidP="00836C94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Da li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2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spiska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treba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strane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člana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grupe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licence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prethodnoj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ta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direktno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</w:p>
    <w:p w:rsidR="00836C94" w:rsidRDefault="00836C94" w:rsidP="00836C94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tački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2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spiska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navodite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moraju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biti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odgovarajuće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struke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međutim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predvideli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dokazuje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baš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struke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molimo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u tom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smislu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dokazuje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angažovanost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stajati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struka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odnosno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dužan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svoju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priloži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kopije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stečenih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diploma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sl.</w:t>
      </w:r>
    </w:p>
    <w:p w:rsidR="00836C94" w:rsidRDefault="00836C94" w:rsidP="00836C94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modelu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dobavljač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dužan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redovnog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interfone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To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znači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ukupnu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ugovorenu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uračunati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potrebni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angažovanje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stručnih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obučenih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npr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reinstalaciju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reprogramiranje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podešavanje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parametara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softvera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kamera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ACTi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reprogramiranje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parametara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digitalnog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bolničkog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intercom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Stentofon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rekonfiguracija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Paradox, i sl.)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otklanjanju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vrsta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kvarova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toku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trajanja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već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eskploataciji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7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godina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Da li je to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?</w:t>
      </w:r>
    </w:p>
    <w:p w:rsidR="00836C94" w:rsidRDefault="00836C94" w:rsidP="00836C94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lastRenderedPageBreak/>
        <w:t>Kako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pored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tri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tehničke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:</w:t>
      </w:r>
    </w:p>
    <w:p w:rsidR="00836C94" w:rsidRDefault="00836C94" w:rsidP="00836C94">
      <w:pPr>
        <w:numPr>
          <w:ilvl w:val="0"/>
          <w:numId w:val="6"/>
        </w:numPr>
        <w:shd w:val="clear" w:color="auto" w:fill="FFFFFF"/>
        <w:ind w:left="108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ACTi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</w:t>
      </w:r>
    </w:p>
    <w:p w:rsidR="00836C94" w:rsidRDefault="00836C94" w:rsidP="00836C94">
      <w:pPr>
        <w:numPr>
          <w:ilvl w:val="0"/>
          <w:numId w:val="6"/>
        </w:numPr>
        <w:shd w:val="clear" w:color="auto" w:fill="FFFFFF"/>
        <w:ind w:left="108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Bolničkog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intercom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Stentofon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</w:t>
      </w:r>
    </w:p>
    <w:p w:rsidR="00836C94" w:rsidRDefault="00836C94" w:rsidP="00836C94">
      <w:pPr>
        <w:numPr>
          <w:ilvl w:val="0"/>
          <w:numId w:val="6"/>
        </w:numPr>
        <w:shd w:val="clear" w:color="auto" w:fill="FFFFFF"/>
        <w:ind w:left="108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Paradox,</w:t>
      </w:r>
    </w:p>
    <w:p w:rsidR="00836C94" w:rsidRDefault="00836C94" w:rsidP="00836C94">
      <w:pPr>
        <w:shd w:val="clear" w:color="auto" w:fill="FFFFFF"/>
        <w:ind w:left="720"/>
        <w:rPr>
          <w:rFonts w:ascii="Calibri" w:hAnsi="Calibri" w:cs="Calibri"/>
          <w:color w:val="333333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bilo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sasvim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logično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našem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mišljenju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neophodno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da lice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angažuje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poslovima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bude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obučeno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kvalitetno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uvereni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interes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U tom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smislu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trenutno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predviđeno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dostavljanje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bilo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kakvog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sposoban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obučen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naglašavamo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već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),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jedan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najčešćih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najuobičajenijih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dodatnih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javljaju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procesima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putem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predlažemo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se od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svoju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kompatibilne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opreme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dokaz</w:t>
      </w:r>
      <w:proofErr w:type="spell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  <w:u w:val="single"/>
        </w:rPr>
        <w:t>komaptibilnosti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zvaničnih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predstavnika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Republici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Srbiji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obučeni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bolničkog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intercom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protivprovalnu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zaštitu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postavljeni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okviru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Urgentnog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Kličničkog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Vojvodine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potpunosti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saglasnosti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Zakonom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nabavkama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sr-Cyrl-RS"/>
        </w:rPr>
        <w:t>,</w:t>
      </w:r>
      <w:r>
        <w:rPr>
          <w:rStyle w:val="apple-converted-space"/>
          <w:rFonts w:ascii="Calibri" w:hAnsi="Calibri" w:cs="Calibri"/>
          <w:color w:val="333333"/>
          <w:sz w:val="22"/>
          <w:szCs w:val="22"/>
          <w:lang w:val="sr-Cyrl-RS"/>
        </w:rPr>
        <w:t> 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član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76.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stavovi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2 i 6.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Obučenih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lica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servisiranje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vrsta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više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Republici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Srbiji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slučaju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predstavlja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nikakav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diskriminatorski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naprotiv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predstavlja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svrsishodan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logičan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direktno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štiti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interes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Po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našem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mišljenju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ovakav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uslov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interesu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obezbeđuje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sigurnost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kvalitet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eliminiše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mogućnost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izvršenje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radova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ponuđačem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nekonkurentan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neprofesionalan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odnosno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nesposoban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prvenstveno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Vas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naručioca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nepotrebno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kasnije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sigurno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dovelo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probleme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održavanja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instalacija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objektu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velikog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društvenog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značaja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Urgentni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centar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p w:rsidR="00836C94" w:rsidRDefault="00836C94" w:rsidP="00836C94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Konkursnom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predviđeno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ponderisanje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određenoj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metodologiji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svrhu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izvršenim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uslugama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međutim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predviđeno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dostavljanje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nikakvih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išli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prilogu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traženih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smislu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kopija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računa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sklopio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izdao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izdavaocu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videti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zaista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Prilaganje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kopija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računa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videti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kakve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tačno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jeste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jedan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najuobičajenijih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dokazivanja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ranijeg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iskustva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polju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predmet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nabavke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predlažemo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obaveza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bude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date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kopije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ugovora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i/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računa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jasno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može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videti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zaista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izvršio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usluge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navedene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potvrdi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p w:rsidR="00836C94" w:rsidRDefault="00836C94" w:rsidP="00836C94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spisku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rezervnih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navodi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ponuditi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rezervne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delove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postavljeni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okviru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Urgentnog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centra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KCV. Da li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kamere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stavke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 i 2)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nude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kroz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spisak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rezervnih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delova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treba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budu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kompatibilne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softverom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kontrolu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sistema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IP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nadzor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ACTi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? Da li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delovi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serverskog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računara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stavka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5 i 7)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treba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budu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kompatibilni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postojećim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serverima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trenutno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eksploataciji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vrši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snimanje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video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materijala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treba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način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dokazuje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ponudio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opremu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kompatibilna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postojećom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opremom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u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eksploataciji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Uobičajeno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je da se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tome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ponuđač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kataloške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333333"/>
          <w:sz w:val="22"/>
          <w:szCs w:val="22"/>
        </w:rPr>
        <w:t>ili</w:t>
      </w:r>
      <w:proofErr w:type="spellEnd"/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bar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naziv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modela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nudi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naručilac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mogao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proveri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je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zaista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ponuđena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odgovarajuća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oprema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predlažemo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izmenite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Konkursnu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dokumentaciju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tako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što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ćete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lastRenderedPageBreak/>
        <w:t>ponuđača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tražiti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dostave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dokaz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kompatibilnosti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ponuđene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opreme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izvod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kataloga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proizvođača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).</w:t>
      </w:r>
    </w:p>
    <w:p w:rsidR="00CE62B1" w:rsidRPr="00CE62B1" w:rsidRDefault="00CE62B1" w:rsidP="00CE62B1">
      <w:pPr>
        <w:rPr>
          <w:lang w:val="sr-Cyrl-RS"/>
        </w:rPr>
      </w:pPr>
    </w:p>
    <w:p w:rsidR="00CE62B1" w:rsidRDefault="00CE62B1" w:rsidP="00CE62B1">
      <w:pPr>
        <w:rPr>
          <w:lang w:val="sr-Cyrl-RS"/>
        </w:rPr>
      </w:pPr>
    </w:p>
    <w:p w:rsidR="00F562BB" w:rsidRDefault="00F562BB" w:rsidP="00CE62B1">
      <w:pPr>
        <w:rPr>
          <w:b/>
          <w:lang w:val="sr-Cyrl-RS"/>
        </w:rPr>
      </w:pPr>
    </w:p>
    <w:p w:rsidR="00F562BB" w:rsidRDefault="00F562BB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 w:rsidRPr="00CE62B1">
        <w:rPr>
          <w:b/>
          <w:lang w:val="sr-Cyrl-RS"/>
        </w:rPr>
        <w:t>ОДГОВОР</w:t>
      </w:r>
    </w:p>
    <w:p w:rsidR="0088287A" w:rsidRDefault="0088287A" w:rsidP="00CE62B1">
      <w:pPr>
        <w:rPr>
          <w:b/>
          <w:lang w:val="sr-Cyrl-RS"/>
        </w:rPr>
      </w:pPr>
    </w:p>
    <w:p w:rsidR="00DF131E" w:rsidRPr="008274AD" w:rsidRDefault="00291A03" w:rsidP="008274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>.</w:t>
      </w:r>
      <w:r w:rsidR="00827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вебсајту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>.</w:t>
      </w:r>
    </w:p>
    <w:p w:rsidR="00DF131E" w:rsidRPr="008274AD" w:rsidRDefault="00291A03" w:rsidP="008274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DF131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131E" w:rsidRPr="00DF131E">
        <w:rPr>
          <w:rFonts w:ascii="Times New Roman" w:hAnsi="Times New Roman" w:cs="Times New Roman"/>
          <w:sz w:val="24"/>
          <w:szCs w:val="24"/>
        </w:rPr>
        <w:t>.</w:t>
      </w:r>
      <w:r w:rsidR="00827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вебсајту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31E" w:rsidRPr="008274AD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DF131E" w:rsidRPr="008274AD">
        <w:rPr>
          <w:rFonts w:ascii="Times New Roman" w:hAnsi="Times New Roman" w:cs="Times New Roman"/>
          <w:sz w:val="24"/>
          <w:szCs w:val="24"/>
        </w:rPr>
        <w:t>.</w:t>
      </w:r>
    </w:p>
    <w:p w:rsidR="000D00E5" w:rsidRPr="00291A03" w:rsidRDefault="00291A03" w:rsidP="008274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1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F1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вебсајту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1119DE" w:rsidRPr="0011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DE" w:rsidRPr="001119D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="00DF131E" w:rsidRPr="001119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269" w:rsidRPr="00997FA1" w:rsidRDefault="00C72269" w:rsidP="00C722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Тачно је али само за видео надзо</w:t>
      </w:r>
      <w:r>
        <w:rPr>
          <w:rFonts w:ascii="Times New Roman" w:hAnsi="Times New Roman" w:cs="Times New Roman"/>
          <w:sz w:val="24"/>
          <w:szCs w:val="24"/>
          <w:lang w:val="sr-Cyrl-RS"/>
        </w:rPr>
        <w:t>р, без и</w:t>
      </w:r>
      <w:r>
        <w:rPr>
          <w:rFonts w:ascii="Times New Roman" w:hAnsi="Times New Roman" w:cs="Times New Roman"/>
          <w:sz w:val="24"/>
          <w:szCs w:val="24"/>
          <w:lang w:val="sr-Latn-RS"/>
        </w:rPr>
        <w:t>нтерфон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противпровалн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Што се тиче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укупне уговорене цене она обухвата радове на </w:t>
      </w:r>
      <w:r>
        <w:rPr>
          <w:rFonts w:ascii="Times New Roman" w:hAnsi="Times New Roman" w:cs="Times New Roman"/>
          <w:sz w:val="24"/>
          <w:szCs w:val="24"/>
          <w:lang w:val="sr-Latn-RS"/>
        </w:rPr>
        <w:t>видео надзор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Latn-RS"/>
        </w:rPr>
        <w:t>(ресетовања, програмирања и репрограмирања и слично)</w:t>
      </w:r>
      <w:r>
        <w:rPr>
          <w:rFonts w:ascii="Times New Roman" w:hAnsi="Times New Roman" w:cs="Times New Roman"/>
          <w:sz w:val="24"/>
          <w:szCs w:val="24"/>
          <w:lang w:val="sr-Cyrl-RS"/>
        </w:rPr>
        <w:t>. С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ви радови 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обухваћени  ценом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Latn-RS"/>
        </w:rPr>
        <w:t>плаћа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месечно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замена наведених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резервни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делов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се врши само уколико </w:t>
      </w:r>
      <w:r w:rsidRPr="00C72269">
        <w:rPr>
          <w:rFonts w:ascii="Times New Roman" w:hAnsi="Times New Roman" w:cs="Times New Roman"/>
          <w:sz w:val="24"/>
          <w:szCs w:val="24"/>
          <w:lang w:val="sr-Cyrl-RS"/>
        </w:rPr>
        <w:t>настане потреба за заменом дела у току трајања уговора, а према достављеном ценовнику понуђача који ће бити саставни део уговора.</w:t>
      </w:r>
    </w:p>
    <w:p w:rsidR="00997FA1" w:rsidRPr="00C72269" w:rsidRDefault="00997FA1" w:rsidP="00C722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остаје при усло</w:t>
      </w:r>
      <w:r w:rsidR="00A16BF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E72EB">
        <w:rPr>
          <w:rFonts w:ascii="Times New Roman" w:hAnsi="Times New Roman" w:cs="Times New Roman"/>
          <w:sz w:val="24"/>
          <w:szCs w:val="24"/>
          <w:lang w:val="sr-Cyrl-RS"/>
        </w:rPr>
        <w:t>има у конкурсној документацији.</w:t>
      </w:r>
      <w:bookmarkStart w:id="0" w:name="_GoBack"/>
      <w:bookmarkEnd w:id="0"/>
    </w:p>
    <w:p w:rsidR="000D00E5" w:rsidRPr="00C72269" w:rsidRDefault="00BA2504" w:rsidP="008274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72269">
        <w:rPr>
          <w:rFonts w:ascii="Times New Roman" w:hAnsi="Times New Roman" w:cs="Times New Roman"/>
          <w:sz w:val="24"/>
          <w:szCs w:val="24"/>
          <w:lang w:val="sr-Cyrl-RS"/>
        </w:rPr>
        <w:t>Понуђач доставља потвр</w:t>
      </w:r>
      <w:r w:rsidR="007452BC" w:rsidRPr="00C7226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72269">
        <w:rPr>
          <w:rFonts w:ascii="Times New Roman" w:hAnsi="Times New Roman" w:cs="Times New Roman"/>
          <w:sz w:val="24"/>
          <w:szCs w:val="24"/>
          <w:lang w:val="sr-Cyrl-RS"/>
        </w:rPr>
        <w:t>е о извршеним услугама које им издају претходни Наручиоци</w:t>
      </w:r>
      <w:r w:rsidR="007452BC" w:rsidRPr="00C72269">
        <w:rPr>
          <w:rFonts w:ascii="Times New Roman" w:hAnsi="Times New Roman" w:cs="Times New Roman"/>
          <w:sz w:val="24"/>
          <w:szCs w:val="24"/>
          <w:lang w:val="sr-Cyrl-RS"/>
        </w:rPr>
        <w:t xml:space="preserve"> код којих су </w:t>
      </w:r>
      <w:r w:rsidRPr="00C72269">
        <w:rPr>
          <w:rFonts w:ascii="Times New Roman" w:hAnsi="Times New Roman" w:cs="Times New Roman"/>
          <w:sz w:val="24"/>
          <w:szCs w:val="24"/>
          <w:lang w:val="sr-Cyrl-RS"/>
        </w:rPr>
        <w:t>вршили  услуг</w:t>
      </w:r>
      <w:r w:rsidR="007452BC" w:rsidRPr="00C7226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72269">
        <w:rPr>
          <w:rFonts w:ascii="Times New Roman" w:hAnsi="Times New Roman" w:cs="Times New Roman"/>
          <w:sz w:val="24"/>
          <w:szCs w:val="24"/>
          <w:lang w:val="sr-Cyrl-RS"/>
        </w:rPr>
        <w:t xml:space="preserve">. Наручилац сматра </w:t>
      </w:r>
      <w:r w:rsidR="007452BC" w:rsidRPr="00C72269">
        <w:rPr>
          <w:rFonts w:ascii="Times New Roman" w:hAnsi="Times New Roman" w:cs="Times New Roman"/>
          <w:sz w:val="24"/>
          <w:szCs w:val="24"/>
          <w:lang w:val="sr-Cyrl-RS"/>
        </w:rPr>
        <w:t>да то и јесте меродаван доказ да је извршио услугу у односу на уговор, јер закључивањем уговора не мора да значи да је и у потпуности реализован. Исто тако Наручилац може да након достављања понуде потенцијалних понуђача, провери валидност тих потврда код издавоца потврде</w:t>
      </w:r>
      <w:r w:rsidR="005358D4">
        <w:rPr>
          <w:rFonts w:ascii="Times New Roman" w:hAnsi="Times New Roman" w:cs="Times New Roman"/>
          <w:sz w:val="24"/>
          <w:szCs w:val="24"/>
          <w:lang w:val="sr-Cyrl-RS"/>
        </w:rPr>
        <w:t xml:space="preserve">, а што се тиче </w:t>
      </w:r>
      <w:r w:rsidR="007452BC" w:rsidRPr="00C72269">
        <w:rPr>
          <w:rFonts w:ascii="Times New Roman" w:hAnsi="Times New Roman" w:cs="Times New Roman"/>
          <w:sz w:val="24"/>
          <w:szCs w:val="24"/>
          <w:lang w:val="sr-Latn-RS"/>
        </w:rPr>
        <w:t>копиј</w:t>
      </w:r>
      <w:r w:rsidR="005358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52BC" w:rsidRPr="00C72269">
        <w:rPr>
          <w:rFonts w:ascii="Times New Roman" w:hAnsi="Times New Roman" w:cs="Times New Roman"/>
          <w:sz w:val="24"/>
          <w:szCs w:val="24"/>
          <w:lang w:val="sr-Latn-RS"/>
        </w:rPr>
        <w:t xml:space="preserve"> рачуна </w:t>
      </w:r>
      <w:r w:rsidR="005358D4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="007452BC" w:rsidRPr="00C72269">
        <w:rPr>
          <w:rFonts w:ascii="Times New Roman" w:hAnsi="Times New Roman" w:cs="Times New Roman"/>
          <w:sz w:val="24"/>
          <w:szCs w:val="24"/>
          <w:lang w:val="sr-Latn-RS"/>
        </w:rPr>
        <w:t xml:space="preserve">би повећало </w:t>
      </w:r>
      <w:r w:rsidR="00333D28" w:rsidRPr="00C72269">
        <w:rPr>
          <w:rFonts w:ascii="Times New Roman" w:hAnsi="Times New Roman" w:cs="Times New Roman"/>
          <w:sz w:val="24"/>
          <w:szCs w:val="24"/>
          <w:lang w:val="sr-Cyrl-RS"/>
        </w:rPr>
        <w:t>обимност документ</w:t>
      </w:r>
      <w:r w:rsidR="005358D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3D28" w:rsidRPr="00C72269">
        <w:rPr>
          <w:rFonts w:ascii="Times New Roman" w:hAnsi="Times New Roman" w:cs="Times New Roman"/>
          <w:sz w:val="24"/>
          <w:szCs w:val="24"/>
          <w:lang w:val="sr-Cyrl-RS"/>
        </w:rPr>
        <w:t xml:space="preserve">ције </w:t>
      </w:r>
      <w:r w:rsidR="00CB19C3">
        <w:rPr>
          <w:rFonts w:ascii="Times New Roman" w:hAnsi="Times New Roman" w:cs="Times New Roman"/>
          <w:sz w:val="24"/>
          <w:szCs w:val="24"/>
          <w:lang w:val="sr-Cyrl-RS"/>
        </w:rPr>
        <w:t xml:space="preserve">саме </w:t>
      </w:r>
      <w:r w:rsidR="00AC0039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 w:rsidR="00333D28" w:rsidRPr="00C72269">
        <w:rPr>
          <w:rFonts w:ascii="Times New Roman" w:hAnsi="Times New Roman" w:cs="Times New Roman"/>
          <w:sz w:val="24"/>
          <w:szCs w:val="24"/>
          <w:lang w:val="sr-Cyrl-RS"/>
        </w:rPr>
        <w:t>, а Наручиоцу је важно да за предмет јавне набавке доставе доказе од претходних Наручилаца.</w:t>
      </w:r>
    </w:p>
    <w:p w:rsidR="00DF131E" w:rsidRPr="00C72269" w:rsidRDefault="00DF131E" w:rsidP="008274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вебсајту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C72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69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C7226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E62B1" w:rsidRDefault="00CE62B1" w:rsidP="00CE62B1">
      <w:pPr>
        <w:jc w:val="both"/>
        <w:rPr>
          <w:lang w:val="sr-Cyrl-RS"/>
        </w:rPr>
      </w:pPr>
    </w:p>
    <w:p w:rsidR="00CE62B1" w:rsidRDefault="00CE62B1" w:rsidP="00CE62B1">
      <w:pPr>
        <w:jc w:val="both"/>
        <w:rPr>
          <w:lang w:val="sr-Cyrl-RS"/>
        </w:rPr>
      </w:pPr>
    </w:p>
    <w:p w:rsidR="00CE62B1" w:rsidRDefault="00CE62B1" w:rsidP="00CE62B1">
      <w:pPr>
        <w:jc w:val="both"/>
        <w:rPr>
          <w:lang w:val="sr-Cyrl-RS"/>
        </w:rPr>
      </w:pPr>
    </w:p>
    <w:p w:rsidR="00CE62B1" w:rsidRDefault="00CE62B1" w:rsidP="00CE62B1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CE62B1" w:rsidRPr="00CE62B1" w:rsidRDefault="00F562BB" w:rsidP="00CE62B1">
      <w:pPr>
        <w:jc w:val="right"/>
        <w:rPr>
          <w:lang w:val="sr-Cyrl-RS"/>
        </w:rPr>
      </w:pPr>
      <w:r>
        <w:rPr>
          <w:lang w:val="sr-Cyrl-RS"/>
        </w:rPr>
        <w:t>Комисија за јавну набавку 34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8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F2" w:rsidRDefault="00A16BF2">
      <w:r>
        <w:separator/>
      </w:r>
    </w:p>
  </w:endnote>
  <w:endnote w:type="continuationSeparator" w:id="0">
    <w:p w:rsidR="00A16BF2" w:rsidRDefault="00A1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F2" w:rsidRDefault="00A16BF2">
      <w:r>
        <w:separator/>
      </w:r>
    </w:p>
  </w:footnote>
  <w:footnote w:type="continuationSeparator" w:id="0">
    <w:p w:rsidR="00A16BF2" w:rsidRDefault="00A1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16BF2" w:rsidRPr="00EE0410" w:rsidTr="00025CF1">
      <w:trPr>
        <w:trHeight w:val="1110"/>
      </w:trPr>
      <w:tc>
        <w:tcPr>
          <w:tcW w:w="1475" w:type="dxa"/>
        </w:tcPr>
        <w:p w:rsidR="00A16BF2" w:rsidRDefault="00A16BF2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1pt;height:71.35pt" o:ole="">
                <v:imagedata r:id="rId1" o:title=""/>
              </v:shape>
              <o:OLEObject Type="Embed" ProgID="PBrush" ShapeID="_x0000_i1025" DrawAspect="Content" ObjectID="_1554882612" r:id="rId2"/>
            </w:object>
          </w:r>
        </w:p>
      </w:tc>
      <w:tc>
        <w:tcPr>
          <w:tcW w:w="8063" w:type="dxa"/>
        </w:tcPr>
        <w:p w:rsidR="00A16BF2" w:rsidRPr="003131F6" w:rsidRDefault="00A16BF2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A16BF2" w:rsidRPr="00162087" w:rsidRDefault="00A16BF2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A16BF2" w:rsidRPr="00BA3695" w:rsidRDefault="00A16BF2" w:rsidP="00FF0BA2">
          <w:pPr>
            <w:rPr>
              <w:sz w:val="8"/>
              <w:lang w:val="hr-HR"/>
            </w:rPr>
          </w:pPr>
        </w:p>
        <w:p w:rsidR="00A16BF2" w:rsidRPr="00BA3695" w:rsidRDefault="00A16BF2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A16BF2" w:rsidRPr="004E1384" w:rsidRDefault="00A16BF2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A16BF2" w:rsidRPr="00BA3695" w:rsidRDefault="00A16BF2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A16BF2" w:rsidRPr="00BA3695" w:rsidRDefault="00A16BF2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A16BF2" w:rsidRPr="00A2600C" w:rsidRDefault="00A16BF2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5CF1"/>
    <w:rsid w:val="00037362"/>
    <w:rsid w:val="00052C53"/>
    <w:rsid w:val="000758B1"/>
    <w:rsid w:val="00092CF0"/>
    <w:rsid w:val="000A5F2E"/>
    <w:rsid w:val="000D00E5"/>
    <w:rsid w:val="000D7827"/>
    <w:rsid w:val="000E72EB"/>
    <w:rsid w:val="000F1A3E"/>
    <w:rsid w:val="000F7CDA"/>
    <w:rsid w:val="001119DE"/>
    <w:rsid w:val="00162087"/>
    <w:rsid w:val="001E0C74"/>
    <w:rsid w:val="00234981"/>
    <w:rsid w:val="00291A03"/>
    <w:rsid w:val="002A4048"/>
    <w:rsid w:val="002B74F7"/>
    <w:rsid w:val="003131F6"/>
    <w:rsid w:val="00323042"/>
    <w:rsid w:val="00333D28"/>
    <w:rsid w:val="0036442D"/>
    <w:rsid w:val="003A20BC"/>
    <w:rsid w:val="003A534F"/>
    <w:rsid w:val="003B0D4A"/>
    <w:rsid w:val="00474788"/>
    <w:rsid w:val="004C6A58"/>
    <w:rsid w:val="004E231C"/>
    <w:rsid w:val="005005CD"/>
    <w:rsid w:val="005358D4"/>
    <w:rsid w:val="00542593"/>
    <w:rsid w:val="005437D5"/>
    <w:rsid w:val="00576303"/>
    <w:rsid w:val="00581C38"/>
    <w:rsid w:val="005C42C5"/>
    <w:rsid w:val="005F3521"/>
    <w:rsid w:val="00602CAA"/>
    <w:rsid w:val="00605A2E"/>
    <w:rsid w:val="00625113"/>
    <w:rsid w:val="0064209E"/>
    <w:rsid w:val="00655FAB"/>
    <w:rsid w:val="00693D73"/>
    <w:rsid w:val="006A2586"/>
    <w:rsid w:val="006C16D2"/>
    <w:rsid w:val="006E55B4"/>
    <w:rsid w:val="006E708D"/>
    <w:rsid w:val="006E74C5"/>
    <w:rsid w:val="00736E6E"/>
    <w:rsid w:val="007452BC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8287A"/>
    <w:rsid w:val="00896460"/>
    <w:rsid w:val="008C4E78"/>
    <w:rsid w:val="008E12D9"/>
    <w:rsid w:val="0091565D"/>
    <w:rsid w:val="00922E07"/>
    <w:rsid w:val="0092373C"/>
    <w:rsid w:val="00930D11"/>
    <w:rsid w:val="00973A94"/>
    <w:rsid w:val="00997FA1"/>
    <w:rsid w:val="00A16BF2"/>
    <w:rsid w:val="00A2600C"/>
    <w:rsid w:val="00A609C9"/>
    <w:rsid w:val="00A85AAE"/>
    <w:rsid w:val="00AA7EBC"/>
    <w:rsid w:val="00AC0039"/>
    <w:rsid w:val="00AC7072"/>
    <w:rsid w:val="00AE4F91"/>
    <w:rsid w:val="00AE7CE1"/>
    <w:rsid w:val="00B07F8B"/>
    <w:rsid w:val="00B145B9"/>
    <w:rsid w:val="00B20F85"/>
    <w:rsid w:val="00BA2504"/>
    <w:rsid w:val="00BA3695"/>
    <w:rsid w:val="00BC7C50"/>
    <w:rsid w:val="00C05DA7"/>
    <w:rsid w:val="00C33A43"/>
    <w:rsid w:val="00C5179D"/>
    <w:rsid w:val="00C55E24"/>
    <w:rsid w:val="00C72269"/>
    <w:rsid w:val="00C83355"/>
    <w:rsid w:val="00C94607"/>
    <w:rsid w:val="00CB166C"/>
    <w:rsid w:val="00CB19C3"/>
    <w:rsid w:val="00CE4FE7"/>
    <w:rsid w:val="00CE62B1"/>
    <w:rsid w:val="00CE7442"/>
    <w:rsid w:val="00D85223"/>
    <w:rsid w:val="00D92134"/>
    <w:rsid w:val="00DA49BE"/>
    <w:rsid w:val="00DF131E"/>
    <w:rsid w:val="00E238B1"/>
    <w:rsid w:val="00E436E2"/>
    <w:rsid w:val="00E47DEE"/>
    <w:rsid w:val="00E81A60"/>
    <w:rsid w:val="00E9365A"/>
    <w:rsid w:val="00EA3354"/>
    <w:rsid w:val="00EE0410"/>
    <w:rsid w:val="00EE24B0"/>
    <w:rsid w:val="00F06E9C"/>
    <w:rsid w:val="00F358D3"/>
    <w:rsid w:val="00F43068"/>
    <w:rsid w:val="00F44962"/>
    <w:rsid w:val="00F562BB"/>
    <w:rsid w:val="00F91DF2"/>
    <w:rsid w:val="00F93C0F"/>
    <w:rsid w:val="00FD101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266</TotalTime>
  <Pages>3</Pages>
  <Words>1358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25</cp:revision>
  <cp:lastPrinted>2017-04-27T07:55:00Z</cp:lastPrinted>
  <dcterms:created xsi:type="dcterms:W3CDTF">2013-03-26T06:20:00Z</dcterms:created>
  <dcterms:modified xsi:type="dcterms:W3CDTF">2017-04-28T09:04:00Z</dcterms:modified>
</cp:coreProperties>
</file>