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2A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E82A3E">
        <w:rPr>
          <w:rFonts w:eastAsiaTheme="minorHAnsi"/>
        </w:rPr>
        <w:t>22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402C2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82A3E" w:rsidRPr="00E82A3E">
        <w:rPr>
          <w:b/>
          <w:lang w:val="sr-Cyrl-CS"/>
        </w:rPr>
        <w:t>Ректални катетери</w:t>
      </w:r>
    </w:p>
    <w:p w:rsidR="00E82A3E" w:rsidRPr="00E82A3E" w:rsidRDefault="00E82A3E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402C2" w:rsidRPr="002402C2">
        <w:t>82.000,00</w:t>
      </w:r>
      <w:r w:rsidR="002402C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82A3E" w:rsidRPr="00E82A3E">
        <w:t xml:space="preserve">206.250,00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82A3E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82A3E" w:rsidRPr="00E82A3E">
        <w:t xml:space="preserve">270.000,00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82A3E" w:rsidRPr="00E82A3E">
        <w:t xml:space="preserve">187.500,00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2C2" w:rsidRPr="002402C2">
        <w:t>91.500,00</w:t>
      </w:r>
      <w:r w:rsidR="002402C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82A3E" w:rsidRPr="00E82A3E">
        <w:t xml:space="preserve">187.500,00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524E" w:rsidRDefault="001331AC" w:rsidP="00170B17">
      <w:pPr>
        <w:pStyle w:val="NoSpacing"/>
        <w:rPr>
          <w:b/>
          <w:bCs/>
        </w:rPr>
      </w:pPr>
      <w:r w:rsidRPr="001331AC">
        <w:rPr>
          <w:b/>
          <w:bCs/>
        </w:rPr>
        <w:t>„</w:t>
      </w:r>
      <w:proofErr w:type="spellStart"/>
      <w:r w:rsidRPr="001331AC">
        <w:rPr>
          <w:b/>
          <w:bCs/>
        </w:rPr>
        <w:t>Синофарм</w:t>
      </w:r>
      <w:proofErr w:type="spellEnd"/>
      <w:proofErr w:type="gramStart"/>
      <w:r w:rsidRPr="001331AC">
        <w:rPr>
          <w:b/>
          <w:bCs/>
        </w:rPr>
        <w:t xml:space="preserve">“ </w:t>
      </w:r>
      <w:proofErr w:type="spellStart"/>
      <w:r w:rsidRPr="001331AC">
        <w:rPr>
          <w:b/>
          <w:bCs/>
        </w:rPr>
        <w:t>д.о.о</w:t>
      </w:r>
      <w:proofErr w:type="spellEnd"/>
      <w:proofErr w:type="gramEnd"/>
      <w:r w:rsidRPr="001331AC">
        <w:rPr>
          <w:b/>
          <w:bCs/>
        </w:rPr>
        <w:t xml:space="preserve">., </w:t>
      </w:r>
      <w:proofErr w:type="spellStart"/>
      <w:r w:rsidRPr="001331AC">
        <w:rPr>
          <w:b/>
          <w:bCs/>
        </w:rPr>
        <w:t>ул</w:t>
      </w:r>
      <w:proofErr w:type="spellEnd"/>
      <w:r w:rsidRPr="001331AC">
        <w:rPr>
          <w:b/>
          <w:bCs/>
        </w:rPr>
        <w:t xml:space="preserve">. </w:t>
      </w:r>
      <w:proofErr w:type="spellStart"/>
      <w:r w:rsidRPr="001331AC">
        <w:rPr>
          <w:b/>
          <w:bCs/>
        </w:rPr>
        <w:t>Косте</w:t>
      </w:r>
      <w:proofErr w:type="spellEnd"/>
      <w:r w:rsidRPr="001331AC">
        <w:rPr>
          <w:b/>
          <w:bCs/>
        </w:rPr>
        <w:t xml:space="preserve"> </w:t>
      </w:r>
      <w:proofErr w:type="spellStart"/>
      <w:r w:rsidRPr="001331AC">
        <w:rPr>
          <w:b/>
          <w:bCs/>
        </w:rPr>
        <w:t>Нађа</w:t>
      </w:r>
      <w:proofErr w:type="spellEnd"/>
      <w:r w:rsidRPr="001331AC">
        <w:rPr>
          <w:b/>
          <w:bCs/>
        </w:rPr>
        <w:t xml:space="preserve"> бр.31, </w:t>
      </w:r>
      <w:proofErr w:type="spellStart"/>
      <w:r w:rsidRPr="001331AC">
        <w:rPr>
          <w:b/>
          <w:bCs/>
        </w:rPr>
        <w:t>Београд</w:t>
      </w:r>
      <w:proofErr w:type="spellEnd"/>
    </w:p>
    <w:p w:rsidR="001331AC" w:rsidRPr="00170B17" w:rsidRDefault="001331AC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2C2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34A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2B7F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82A3E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2017-08-22T08:49:00Z</dcterms:created>
  <dcterms:modified xsi:type="dcterms:W3CDTF">2017-08-22T09:58:00Z</dcterms:modified>
</cp:coreProperties>
</file>