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 xml:space="preserve">Дана: </w:t>
      </w:r>
      <w:r w:rsidR="00F9575D">
        <w:rPr>
          <w:b/>
          <w:lang w:val="sr-Cyrl-RS"/>
        </w:rPr>
        <w:t>11.09</w:t>
      </w:r>
      <w:r w:rsidR="00325D02">
        <w:rPr>
          <w:b/>
          <w:lang w:val="sr-Cyrl-RS"/>
        </w:rPr>
        <w:t>.2017.</w:t>
      </w:r>
      <w:r w:rsidR="00633BB2">
        <w:rPr>
          <w:b/>
          <w:lang w:val="sr-Cyrl-RS"/>
        </w:rPr>
        <w:t xml:space="preserve"> године</w:t>
      </w:r>
    </w:p>
    <w:p w:rsidR="00633BB2" w:rsidRDefault="00633BB2" w:rsidP="00325D02">
      <w:pPr>
        <w:rPr>
          <w:b/>
          <w:lang w:val="sr-Cyrl-RS"/>
        </w:rPr>
      </w:pPr>
    </w:p>
    <w:p w:rsidR="00CE62B1" w:rsidRDefault="00CE62B1" w:rsidP="00C47EC3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705885">
        <w:rPr>
          <w:b/>
          <w:lang w:val="sr-Latn-RS"/>
        </w:rPr>
        <w:t>1</w:t>
      </w:r>
    </w:p>
    <w:p w:rsidR="00C47EC3" w:rsidRDefault="00C47EC3" w:rsidP="00C47EC3">
      <w:pPr>
        <w:jc w:val="center"/>
        <w:rPr>
          <w:b/>
          <w:lang w:val="sr-Latn-RS"/>
        </w:rPr>
      </w:pPr>
    </w:p>
    <w:p w:rsidR="00C47EC3" w:rsidRDefault="00C47EC3" w:rsidP="00C47EC3">
      <w:pPr>
        <w:jc w:val="center"/>
        <w:rPr>
          <w:b/>
          <w:lang w:val="sr-Cyrl-RS"/>
        </w:rPr>
      </w:pPr>
    </w:p>
    <w:p w:rsidR="00F562BB" w:rsidRDefault="00CE62B1" w:rsidP="00BE6CAF">
      <w:pPr>
        <w:rPr>
          <w:b/>
          <w:lang w:val="sr-Cyrl-RS"/>
        </w:rPr>
      </w:pPr>
      <w:r>
        <w:rPr>
          <w:b/>
          <w:lang w:val="sr-Cyrl-RS"/>
        </w:rPr>
        <w:t>ПИТАЊЕ</w:t>
      </w:r>
      <w:r w:rsidR="00C85C80">
        <w:rPr>
          <w:b/>
          <w:lang w:val="sr-Cyrl-RS"/>
        </w:rPr>
        <w:t>:</w:t>
      </w:r>
    </w:p>
    <w:p w:rsidR="00BE6CAF" w:rsidRDefault="00BE6CAF" w:rsidP="00BE6CAF">
      <w:pPr>
        <w:rPr>
          <w:b/>
          <w:lang w:val="sr-Cyrl-RS"/>
        </w:rPr>
      </w:pPr>
    </w:p>
    <w:p w:rsidR="00F9575D" w:rsidRDefault="00F9575D" w:rsidP="00F957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Sugerišemo Naručilac da u članu 10. Modela ugovora izbriše rečenice koje se odnose na „ugovorenu kaznu“ s obzirom da je u članu 6. Modela ugovora Naručilac primenio član 61. stav 5. Zakona o javnim nabavkama, koji navodi da Naručilac može u konkursnoj dokumentaciji da navede vrstu sredstava finansijskog obezbeđenja kojim ponuđači obezbeđuju ispunjenje obaveza u postupku javne nabavke i ispunjenja ugovornih obaveza, odnosno za povraćaj avansnog plaćanja, pa je Naručilac samim tim isključio mogućnost ugovaranja odredbe Ugovora kojom se zahteva naplata ugovorne kazne, odnosno član 10. Modela ugovora je u suprotnosti i sa članom 265. tačka 3., sa članom 270. tačka 2., članom 276. i sa članom 25. tačka 1. Zakona o obligacionim odnosima.</w:t>
      </w:r>
    </w:p>
    <w:p w:rsidR="00F9575D" w:rsidRDefault="00F9575D" w:rsidP="00F9575D">
      <w:pPr>
        <w:rPr>
          <w:rFonts w:ascii="Arial" w:hAnsi="Arial" w:cs="Arial"/>
        </w:rPr>
      </w:pPr>
    </w:p>
    <w:p w:rsidR="00F9575D" w:rsidRDefault="00F9575D" w:rsidP="00F957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 li se u ponudi dostavlja potpisano menično ovlašćenje na strani 13 konkursne dokumentacije, budući da se menica za dobro izvršenje posla dostavlja tek prilikom potpisivanje ugovora?</w:t>
      </w:r>
    </w:p>
    <w:p w:rsidR="00C47EC3" w:rsidRDefault="00C47EC3" w:rsidP="00CE62B1">
      <w:pPr>
        <w:rPr>
          <w:b/>
          <w:lang w:val="sr-Cyrl-RS"/>
        </w:rPr>
      </w:pPr>
    </w:p>
    <w:p w:rsidR="00C47EC3" w:rsidRDefault="00C47EC3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Latn-RS"/>
        </w:rPr>
      </w:pPr>
      <w:r w:rsidRPr="00CE62B1">
        <w:rPr>
          <w:b/>
          <w:lang w:val="sr-Cyrl-RS"/>
        </w:rPr>
        <w:t>ОДГОВОР</w:t>
      </w:r>
      <w:r w:rsidR="00D5108A">
        <w:rPr>
          <w:b/>
          <w:lang w:val="sr-Cyrl-RS"/>
        </w:rPr>
        <w:t xml:space="preserve"> НАРУЧИОЦА</w:t>
      </w:r>
      <w:r w:rsidR="00CC3EFE">
        <w:rPr>
          <w:b/>
          <w:lang w:val="sr-Latn-RS"/>
        </w:rPr>
        <w:t>:</w:t>
      </w:r>
    </w:p>
    <w:p w:rsidR="00CC3EFE" w:rsidRDefault="00CC3EFE" w:rsidP="00CE62B1">
      <w:pPr>
        <w:rPr>
          <w:b/>
          <w:lang w:val="sr-Latn-RS"/>
        </w:rPr>
      </w:pPr>
    </w:p>
    <w:p w:rsidR="00C032D3" w:rsidRDefault="00F9575D" w:rsidP="00CE0527">
      <w:pPr>
        <w:jc w:val="both"/>
        <w:rPr>
          <w:lang w:val="sr-Latn-RS"/>
        </w:rPr>
      </w:pPr>
      <w:r>
        <w:rPr>
          <w:lang w:val="sr-Latn-RS"/>
        </w:rPr>
        <w:t>1.</w:t>
      </w:r>
      <w:r w:rsidRPr="00F9575D">
        <w:t xml:space="preserve"> </w:t>
      </w:r>
      <w:r w:rsidRPr="006A6CD9">
        <w:t>Наручилац остаје при свим одредбама објављеног модела уговора у конкурсној документацији предметног поступка јавне набавке.</w:t>
      </w:r>
      <w:r w:rsidRPr="006A6CD9">
        <w:rPr>
          <w:lang w:val="sr-Cyrl-RS"/>
        </w:rPr>
        <w:t xml:space="preserve"> </w:t>
      </w:r>
      <w:r w:rsidRPr="006A6CD9">
        <w:t xml:space="preserve">Наиме, конкурсном документацијом предметног поступка јавне набавке наручилац је </w:t>
      </w:r>
      <w:r w:rsidRPr="006A6CD9">
        <w:tab/>
      </w:r>
      <w:r>
        <w:t xml:space="preserve">одредио да </w:t>
      </w:r>
      <w:r w:rsidRPr="006A6CD9">
        <w:t xml:space="preserve">се приликом потписивања уговора </w:t>
      </w:r>
      <w:r>
        <w:t>доставља</w:t>
      </w:r>
      <w:r>
        <w:rPr>
          <w:lang w:val="sr-Cyrl-RS"/>
        </w:rPr>
        <w:t xml:space="preserve"> </w:t>
      </w:r>
      <w:r w:rsidRPr="006A6CD9">
        <w:t xml:space="preserve">„регистрована </w:t>
      </w:r>
      <w:r w:rsidRPr="006A6CD9">
        <w:tab/>
      </w:r>
      <w:r>
        <w:t xml:space="preserve">бланко </w:t>
      </w:r>
      <w:r>
        <w:rPr>
          <w:lang w:val="sr-Cyrl-RS"/>
        </w:rPr>
        <w:t>м</w:t>
      </w:r>
      <w:r w:rsidRPr="006A6CD9">
        <w:t>еница и менично овлашћење за извршење уговорне обавезе“, а све у складу са Законом  о јавним  набавкама.</w:t>
      </w:r>
      <w:r w:rsidRPr="006A6CD9">
        <w:rPr>
          <w:lang w:val="sr-Cyrl-RS"/>
        </w:rPr>
        <w:t xml:space="preserve"> </w:t>
      </w:r>
      <w:r w:rsidRPr="006A6CD9">
        <w:t>Наручилац не уочава да примена члана 61. став 7. Закона о јавним  набавкама, искључује даљу примену одредаба Закона о облигационим односима, који се односе на уговорну казну.</w:t>
      </w:r>
      <w:r w:rsidRPr="006A6CD9">
        <w:rPr>
          <w:lang w:val="sr-Cyrl-RS"/>
        </w:rPr>
        <w:t xml:space="preserve"> </w:t>
      </w:r>
      <w:r w:rsidRPr="006A6CD9">
        <w:t>Такође, наручилац сматра да наведени чланови Закона о облигационим односима нису у вези са дефинисаном одредбом члана 10. модела уговора, односно уговорном казном, како то потенцијални понуђач наводи, јер исти не дефинишу предметну „проблематику“.</w:t>
      </w:r>
      <w:r w:rsidRPr="006A6CD9">
        <w:rPr>
          <w:lang w:val="sr-Cyrl-RS"/>
        </w:rPr>
        <w:t xml:space="preserve"> </w:t>
      </w:r>
      <w:r w:rsidRPr="006A6CD9">
        <w:t xml:space="preserve">Опреза ради, наручилац напомиње да одређивање средства обезбеђења не искључује примену уговорне казне, која је као таква дозвољена </w:t>
      </w:r>
      <w:r>
        <w:t>Законом</w:t>
      </w:r>
      <w:r w:rsidRPr="006A6CD9">
        <w:t xml:space="preserve"> о облигационим односима</w:t>
      </w:r>
    </w:p>
    <w:p w:rsidR="00F9575D" w:rsidRDefault="00F9575D" w:rsidP="00CE0527">
      <w:pPr>
        <w:jc w:val="both"/>
        <w:rPr>
          <w:lang w:val="sr-Cyrl-RS"/>
        </w:rPr>
      </w:pPr>
      <w:r>
        <w:rPr>
          <w:lang w:val="sr-Latn-RS"/>
        </w:rPr>
        <w:t>2.</w:t>
      </w:r>
      <w:r>
        <w:rPr>
          <w:lang w:val="sr-Cyrl-RS"/>
        </w:rPr>
        <w:t xml:space="preserve"> Не. На страни 12 стоји:</w:t>
      </w:r>
    </w:p>
    <w:p w:rsidR="00F9575D" w:rsidRPr="00F9575D" w:rsidRDefault="00F9575D" w:rsidP="00CE0527">
      <w:pPr>
        <w:jc w:val="both"/>
        <w:rPr>
          <w:lang w:val="sr-Cyrl-RS"/>
        </w:rPr>
      </w:pPr>
      <w:r>
        <w:rPr>
          <w:noProof/>
          <w:lang w:val="sr-Cyrl-RS"/>
        </w:rPr>
        <w:t>„</w:t>
      </w:r>
      <w:r w:rsidRPr="00F9575D">
        <w:rPr>
          <w:b/>
          <w:noProof/>
          <w:u w:val="single"/>
        </w:rPr>
        <w:t>Понуђач који је изабран као најповољнији</w:t>
      </w:r>
      <w:r w:rsidRPr="00974476">
        <w:rPr>
          <w:noProof/>
        </w:rPr>
        <w:t xml:space="preserve"> је дужан да, </w:t>
      </w:r>
      <w:r w:rsidRPr="00F9575D">
        <w:rPr>
          <w:b/>
          <w:noProof/>
          <w:u w:val="single"/>
        </w:rPr>
        <w:t>приликом потписивања уговора</w:t>
      </w:r>
      <w:r w:rsidRPr="00974476">
        <w:rPr>
          <w:noProof/>
        </w:rPr>
        <w:t>, достави</w:t>
      </w:r>
      <w:r>
        <w:rPr>
          <w:noProof/>
          <w:lang w:val="sr-Cyrl-RS"/>
        </w:rPr>
        <w:t>:...“</w:t>
      </w:r>
    </w:p>
    <w:p w:rsidR="00F9575D" w:rsidRDefault="00F9575D" w:rsidP="00CE0527">
      <w:pPr>
        <w:jc w:val="both"/>
        <w:rPr>
          <w:lang w:val="sr-Cyrl-RS"/>
        </w:rPr>
      </w:pPr>
      <w:bookmarkStart w:id="0" w:name="_GoBack"/>
      <w:bookmarkEnd w:id="0"/>
    </w:p>
    <w:p w:rsidR="00C47EC3" w:rsidRDefault="00C47EC3" w:rsidP="00CE0527">
      <w:pPr>
        <w:jc w:val="both"/>
        <w:rPr>
          <w:lang w:val="sr-Cyrl-RS"/>
        </w:rPr>
      </w:pPr>
    </w:p>
    <w:p w:rsidR="00C47EC3" w:rsidRDefault="00C47EC3" w:rsidP="00CE0527">
      <w:pPr>
        <w:jc w:val="both"/>
        <w:rPr>
          <w:lang w:val="sr-Cyrl-RS"/>
        </w:rPr>
      </w:pPr>
    </w:p>
    <w:p w:rsidR="00C47EC3" w:rsidRPr="00C032D3" w:rsidRDefault="00C47EC3" w:rsidP="00CE0527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CE62B1" w:rsidRPr="00CE62B1" w:rsidRDefault="00705885" w:rsidP="00CE62B1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F9575D">
        <w:rPr>
          <w:lang w:val="sr-Cyrl-RS"/>
        </w:rPr>
        <w:t>158-17-М</w:t>
      </w:r>
    </w:p>
    <w:sectPr w:rsidR="00CE62B1" w:rsidRPr="00CE62B1" w:rsidSect="00FF0BA2">
      <w:headerReference w:type="default" r:id="rId8"/>
      <w:footerReference w:type="default" r:id="rId9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36" w:rsidRDefault="00456936">
      <w:r>
        <w:separator/>
      </w:r>
    </w:p>
  </w:endnote>
  <w:endnote w:type="continuationSeparator" w:id="0">
    <w:p w:rsidR="00456936" w:rsidRDefault="004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936" w:rsidRDefault="0045693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957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957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6936" w:rsidRDefault="0045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36" w:rsidRDefault="00456936">
      <w:r>
        <w:separator/>
      </w:r>
    </w:p>
  </w:footnote>
  <w:footnote w:type="continuationSeparator" w:id="0">
    <w:p w:rsidR="00456936" w:rsidRDefault="0045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56936" w:rsidRPr="00EE0410" w:rsidTr="00025CF1">
      <w:trPr>
        <w:trHeight w:val="1110"/>
      </w:trPr>
      <w:tc>
        <w:tcPr>
          <w:tcW w:w="1475" w:type="dxa"/>
        </w:tcPr>
        <w:p w:rsidR="00456936" w:rsidRDefault="00456936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4pt;height:71.35pt" o:ole="">
                <v:imagedata r:id="rId1" o:title=""/>
              </v:shape>
              <o:OLEObject Type="Embed" ProgID="PBrush" ShapeID="_x0000_i1025" DrawAspect="Content" ObjectID="_1566622694" r:id="rId2"/>
            </w:object>
          </w:r>
        </w:p>
      </w:tc>
      <w:tc>
        <w:tcPr>
          <w:tcW w:w="8063" w:type="dxa"/>
        </w:tcPr>
        <w:p w:rsidR="00456936" w:rsidRPr="003131F6" w:rsidRDefault="00456936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456936" w:rsidRPr="00162087" w:rsidRDefault="00456936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456936" w:rsidRPr="00BA3695" w:rsidRDefault="00456936" w:rsidP="00FF0BA2">
          <w:pPr>
            <w:rPr>
              <w:sz w:val="8"/>
              <w:lang w:val="hr-HR"/>
            </w:rPr>
          </w:pPr>
        </w:p>
        <w:p w:rsidR="00456936" w:rsidRPr="00BA3695" w:rsidRDefault="00456936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21000 Нови Сад, Хајдук Вељкова 1</w:t>
          </w:r>
        </w:p>
        <w:p w:rsidR="00456936" w:rsidRPr="004E1384" w:rsidRDefault="00456936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456936" w:rsidRPr="00BA3695" w:rsidRDefault="00456936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456936" w:rsidRPr="00BA3695" w:rsidRDefault="00456936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456936" w:rsidRPr="00A2600C" w:rsidRDefault="00456936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37B8"/>
    <w:multiLevelType w:val="hybridMultilevel"/>
    <w:tmpl w:val="C7CEC4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5238"/>
    <w:multiLevelType w:val="hybridMultilevel"/>
    <w:tmpl w:val="8F7045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57908"/>
    <w:rsid w:val="00162087"/>
    <w:rsid w:val="001C365F"/>
    <w:rsid w:val="001E0C74"/>
    <w:rsid w:val="00227D67"/>
    <w:rsid w:val="00234981"/>
    <w:rsid w:val="00244977"/>
    <w:rsid w:val="00272E39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6442D"/>
    <w:rsid w:val="00370BC7"/>
    <w:rsid w:val="003748AE"/>
    <w:rsid w:val="00396A10"/>
    <w:rsid w:val="003A20BC"/>
    <w:rsid w:val="003A534F"/>
    <w:rsid w:val="003B0D4A"/>
    <w:rsid w:val="003C72B9"/>
    <w:rsid w:val="003E56EC"/>
    <w:rsid w:val="003E5ACC"/>
    <w:rsid w:val="003F2E2F"/>
    <w:rsid w:val="003F5D32"/>
    <w:rsid w:val="004270BD"/>
    <w:rsid w:val="00456936"/>
    <w:rsid w:val="004630F8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0693"/>
    <w:rsid w:val="00602CAA"/>
    <w:rsid w:val="00605A2E"/>
    <w:rsid w:val="00625113"/>
    <w:rsid w:val="00633BB2"/>
    <w:rsid w:val="0064209E"/>
    <w:rsid w:val="00644094"/>
    <w:rsid w:val="00655FAB"/>
    <w:rsid w:val="00693D73"/>
    <w:rsid w:val="006A2586"/>
    <w:rsid w:val="006C16D2"/>
    <w:rsid w:val="006D0312"/>
    <w:rsid w:val="006E55B4"/>
    <w:rsid w:val="006E5D09"/>
    <w:rsid w:val="006E708D"/>
    <w:rsid w:val="006E74C5"/>
    <w:rsid w:val="00705885"/>
    <w:rsid w:val="00736E6E"/>
    <w:rsid w:val="00742427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03EB7"/>
    <w:rsid w:val="0091565D"/>
    <w:rsid w:val="00922E07"/>
    <w:rsid w:val="0092373C"/>
    <w:rsid w:val="00930D11"/>
    <w:rsid w:val="009575B8"/>
    <w:rsid w:val="00973A94"/>
    <w:rsid w:val="00977B25"/>
    <w:rsid w:val="00982F1B"/>
    <w:rsid w:val="009E0143"/>
    <w:rsid w:val="00A2600C"/>
    <w:rsid w:val="00A609C9"/>
    <w:rsid w:val="00A67FBF"/>
    <w:rsid w:val="00A85AAE"/>
    <w:rsid w:val="00AA402F"/>
    <w:rsid w:val="00AA7EBC"/>
    <w:rsid w:val="00AC7072"/>
    <w:rsid w:val="00AE4F91"/>
    <w:rsid w:val="00AE6BFB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9688E"/>
    <w:rsid w:val="00BA2504"/>
    <w:rsid w:val="00BA3695"/>
    <w:rsid w:val="00BB651B"/>
    <w:rsid w:val="00BC665F"/>
    <w:rsid w:val="00BC7C50"/>
    <w:rsid w:val="00BD4D08"/>
    <w:rsid w:val="00BE6CAF"/>
    <w:rsid w:val="00C032D3"/>
    <w:rsid w:val="00C05DA7"/>
    <w:rsid w:val="00C061DF"/>
    <w:rsid w:val="00C33A43"/>
    <w:rsid w:val="00C47EC3"/>
    <w:rsid w:val="00C5179D"/>
    <w:rsid w:val="00C55BA1"/>
    <w:rsid w:val="00C55E24"/>
    <w:rsid w:val="00C83355"/>
    <w:rsid w:val="00C85C80"/>
    <w:rsid w:val="00C94607"/>
    <w:rsid w:val="00CB166C"/>
    <w:rsid w:val="00CC3EFE"/>
    <w:rsid w:val="00CE0527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C144C"/>
    <w:rsid w:val="00DC70F8"/>
    <w:rsid w:val="00DF131E"/>
    <w:rsid w:val="00DF3250"/>
    <w:rsid w:val="00E11DA5"/>
    <w:rsid w:val="00E238B1"/>
    <w:rsid w:val="00E33EC7"/>
    <w:rsid w:val="00E436E2"/>
    <w:rsid w:val="00E47DEE"/>
    <w:rsid w:val="00E70BD1"/>
    <w:rsid w:val="00E81A60"/>
    <w:rsid w:val="00E867A4"/>
    <w:rsid w:val="00E86A01"/>
    <w:rsid w:val="00E9365A"/>
    <w:rsid w:val="00EA3354"/>
    <w:rsid w:val="00EA6B89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9575D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5:docId w15:val="{3DC19F14-1C73-45AC-897E-57C1AC0C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D27F-2385-425E-B948-90EDFAA6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859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Korisnik</cp:lastModifiedBy>
  <cp:revision>72</cp:revision>
  <cp:lastPrinted>2017-05-18T07:16:00Z</cp:lastPrinted>
  <dcterms:created xsi:type="dcterms:W3CDTF">2013-03-26T06:20:00Z</dcterms:created>
  <dcterms:modified xsi:type="dcterms:W3CDTF">2017-09-11T06:12:00Z</dcterms:modified>
</cp:coreProperties>
</file>