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>партија 1</w:t>
      </w:r>
      <w:r w:rsidR="00A81E4A">
        <w:rPr>
          <w:i/>
          <w:noProof/>
          <w:lang w:val="sr-Cyrl-RS"/>
        </w:rPr>
        <w:t>3</w:t>
      </w:r>
      <w:r w:rsidRPr="00F954EF">
        <w:rPr>
          <w:i/>
          <w:noProof/>
          <w:lang w:val="sr-Cyrl-RS"/>
        </w:rPr>
        <w:t xml:space="preserve"> </w:t>
      </w:r>
      <w:r w:rsidR="00A81E4A" w:rsidRPr="00A81E4A">
        <w:rPr>
          <w:i/>
          <w:lang w:val="sr-Cyrl-RS"/>
        </w:rPr>
        <w:t>Сервис и одржавање електрокаутера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DB3F6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lang w:val="sr-Cyrl-RS"/>
        </w:rPr>
        <w:t>200</w:t>
      </w:r>
      <w:r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 w:rsidRPr="00F954EF">
        <w:rPr>
          <w:rFonts w:eastAsiaTheme="minorHAnsi"/>
          <w:bCs/>
          <w:lang w:val="sr-Cyrl-RS"/>
        </w:rPr>
        <w:t>24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03A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 xml:space="preserve">'', ул. </w:t>
            </w:r>
            <w:r w:rsidRPr="00F954EF">
              <w:rPr>
                <w:lang w:val="sr-Cyrl-RS"/>
              </w:rPr>
              <w:lastRenderedPageBreak/>
              <w:t>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A81E4A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17.050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800,00 </w:t>
            </w:r>
            <w:r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0" w:type="pct"/>
          </w:tcPr>
          <w:p w:rsidR="00F3581E" w:rsidRPr="00F954EF" w:rsidRDefault="00A81E4A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24</w:t>
            </w:r>
            <w:r w:rsidR="00F954EF" w:rsidRPr="00F954EF">
              <w:rPr>
                <w:lang w:val="sr-Cyrl-RS"/>
              </w:rPr>
              <w:t xml:space="preserve">.000,00 </w:t>
            </w:r>
            <w:r w:rsidR="00F954EF"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lastRenderedPageBreak/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A81E4A" w:rsidRDefault="00A81E4A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A81E4A">
              <w:rPr>
                <w:lang w:val="sr-Cyrl-RS"/>
              </w:rPr>
              <w:t>''</w:t>
            </w:r>
            <w:r w:rsidRPr="00A81E4A">
              <w:t>Medisal</w:t>
            </w:r>
            <w:r w:rsidRPr="00A81E4A">
              <w:rPr>
                <w:lang w:val="sr-Cyrl-RS"/>
              </w:rPr>
              <w:t>'' д.о.о., ул. Скојевска бр. 23, Београд</w:t>
            </w:r>
          </w:p>
        </w:tc>
        <w:tc>
          <w:tcPr>
            <w:tcW w:w="839" w:type="pct"/>
          </w:tcPr>
          <w:p w:rsidR="005A2C8C" w:rsidRPr="00F954EF" w:rsidRDefault="00A81E4A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162.852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A81E4A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2.340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0" w:type="pct"/>
          </w:tcPr>
          <w:p w:rsidR="005A2C8C" w:rsidRPr="00F954EF" w:rsidRDefault="00A81E4A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128.000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A81E4A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954EF"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5A2C8C" w:rsidRPr="00F954EF" w:rsidRDefault="00A81E4A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F954EF"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4639D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9D" w:rsidRPr="00F954EF" w:rsidRDefault="00F4639D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39D" w:rsidRPr="00F954EF" w:rsidRDefault="00F4639D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39D" w:rsidRPr="00F954EF" w:rsidRDefault="00F4639D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F4639D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4639D" w:rsidRPr="00F954EF" w:rsidRDefault="00F4639D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4639D" w:rsidRPr="00F954EF" w:rsidRDefault="00F4639D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4639D" w:rsidRPr="00F954EF" w:rsidRDefault="00F4639D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4639D" w:rsidRPr="00F954EF" w:rsidRDefault="00F4639D" w:rsidP="00D80CD5">
            <w:pPr>
              <w:rPr>
                <w:noProof/>
                <w:lang w:val="sr-Cyrl-RS"/>
              </w:rPr>
            </w:pPr>
          </w:p>
        </w:tc>
      </w:tr>
      <w:tr w:rsidR="00F4639D" w:rsidRPr="00F954EF" w:rsidTr="00D80CD5">
        <w:trPr>
          <w:trHeight w:val="60"/>
        </w:trPr>
        <w:tc>
          <w:tcPr>
            <w:tcW w:w="927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17.050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4639D" w:rsidRPr="00F954EF" w:rsidRDefault="00F4639D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24</w:t>
            </w:r>
            <w:r w:rsidRPr="00F954EF">
              <w:rPr>
                <w:lang w:val="sr-Cyrl-RS"/>
              </w:rPr>
              <w:t>.000,00 динара без ПДВ-а</w:t>
            </w:r>
          </w:p>
        </w:tc>
        <w:tc>
          <w:tcPr>
            <w:tcW w:w="727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F4639D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39D" w:rsidRPr="00F954EF" w:rsidRDefault="00F4639D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39D" w:rsidRPr="00F954EF" w:rsidRDefault="00F4639D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39D" w:rsidRPr="00F954EF" w:rsidRDefault="00F4639D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F4639D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4639D" w:rsidRPr="00F954EF" w:rsidRDefault="00F4639D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4639D" w:rsidRPr="00F954EF" w:rsidRDefault="00F4639D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4639D" w:rsidRPr="00F954EF" w:rsidRDefault="00F4639D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4639D" w:rsidRPr="00F954EF" w:rsidRDefault="00F4639D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4639D" w:rsidRPr="00F954EF" w:rsidRDefault="00F4639D" w:rsidP="00D80CD5">
            <w:pPr>
              <w:rPr>
                <w:noProof/>
                <w:lang w:val="sr-Cyrl-RS"/>
              </w:rPr>
            </w:pPr>
          </w:p>
        </w:tc>
      </w:tr>
      <w:tr w:rsidR="00F4639D" w:rsidRPr="00F954EF" w:rsidTr="00D80CD5">
        <w:trPr>
          <w:trHeight w:val="60"/>
        </w:trPr>
        <w:tc>
          <w:tcPr>
            <w:tcW w:w="927" w:type="pct"/>
          </w:tcPr>
          <w:p w:rsidR="00F4639D" w:rsidRPr="00A81E4A" w:rsidRDefault="00F4639D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A81E4A">
              <w:rPr>
                <w:lang w:val="sr-Cyrl-RS"/>
              </w:rPr>
              <w:t>''</w:t>
            </w:r>
            <w:r w:rsidRPr="00A81E4A">
              <w:t>Medisal</w:t>
            </w:r>
            <w:r w:rsidRPr="00A81E4A">
              <w:rPr>
                <w:lang w:val="sr-Cyrl-RS"/>
              </w:rPr>
              <w:t>'' д.о.о., ул. Скојевска бр. 23, Београд</w:t>
            </w:r>
          </w:p>
        </w:tc>
        <w:tc>
          <w:tcPr>
            <w:tcW w:w="839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162.852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2.340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0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128.000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F4639D" w:rsidRPr="00F954EF" w:rsidRDefault="00F4639D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4639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686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4639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03A71"/>
    <w:rsid w:val="00297BBE"/>
    <w:rsid w:val="002C55D7"/>
    <w:rsid w:val="00430749"/>
    <w:rsid w:val="005A2C8C"/>
    <w:rsid w:val="006F4FF3"/>
    <w:rsid w:val="008A4409"/>
    <w:rsid w:val="009018E2"/>
    <w:rsid w:val="00A0570D"/>
    <w:rsid w:val="00A54D3C"/>
    <w:rsid w:val="00A81E4A"/>
    <w:rsid w:val="00B569AD"/>
    <w:rsid w:val="00C46650"/>
    <w:rsid w:val="00DB3F67"/>
    <w:rsid w:val="00F3581E"/>
    <w:rsid w:val="00F4639D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2019-03-06T10:27:00Z</dcterms:modified>
</cp:coreProperties>
</file>