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980F3E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980F3E">
        <w:rPr>
          <w:rFonts w:eastAsiaTheme="minorHAnsi"/>
          <w:b/>
          <w:lang w:val="sr-Cyrl-RS"/>
        </w:rPr>
        <w:t>114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партија  </w:t>
      </w:r>
      <w:r w:rsidR="00980F3E">
        <w:rPr>
          <w:rFonts w:eastAsiaTheme="minorHAnsi"/>
          <w:b/>
        </w:rPr>
        <w:t xml:space="preserve">бр. </w:t>
      </w:r>
      <w:r w:rsidR="00980F3E">
        <w:rPr>
          <w:rFonts w:eastAsiaTheme="minorHAnsi"/>
          <w:b/>
          <w:lang w:val="sr-Cyrl-RS"/>
        </w:rPr>
        <w:t>14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980F3E" w:rsidRPr="00980F3E">
        <w:rPr>
          <w:noProof/>
          <w:lang w:val="sr-Cyrl-CS"/>
        </w:rPr>
        <w:t>Ручни дермоскоп за преглед младежа и откривање карцинома коже за Клинику за кожно – венеричне болести</w:t>
      </w:r>
    </w:p>
    <w:p w:rsidR="00980F3E" w:rsidRPr="00D63185" w:rsidRDefault="00980F3E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980F3E" w:rsidRDefault="00980F3E" w:rsidP="006B3D8F">
      <w:pPr>
        <w:jc w:val="both"/>
        <w:rPr>
          <w:b/>
          <w:noProof/>
          <w:lang w:val="sr-Cyrl-RS"/>
        </w:rPr>
      </w:pPr>
      <w:r w:rsidRPr="00980F3E">
        <w:rPr>
          <w:b/>
          <w:noProof/>
        </w:rPr>
        <w:t>33100000 – медицинска опрема</w:t>
      </w:r>
    </w:p>
    <w:p w:rsidR="003B060E" w:rsidRPr="003B060E" w:rsidRDefault="003B060E" w:rsidP="006B3D8F">
      <w:pPr>
        <w:jc w:val="both"/>
        <w:rPr>
          <w:b/>
          <w:noProof/>
          <w:lang w:val="sr-Cyrl-RS"/>
        </w:rPr>
      </w:pPr>
      <w:bookmarkStart w:id="0" w:name="_GoBack"/>
      <w:bookmarkEnd w:id="0"/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980F3E" w:rsidRPr="00980F3E">
        <w:rPr>
          <w:b/>
          <w:noProof/>
        </w:rPr>
        <w:t xml:space="preserve">    208.333,00</w:t>
      </w:r>
      <w:r w:rsidR="00980F3E">
        <w:rPr>
          <w:b/>
          <w:noProof/>
          <w:lang w:val="sr-Cyrl-RS"/>
        </w:rPr>
        <w:t xml:space="preserve"> </w:t>
      </w:r>
      <w:r w:rsidR="00D63185" w:rsidRPr="008852EB">
        <w:rPr>
          <w:rFonts w:eastAsiaTheme="minorHAnsi"/>
          <w:b/>
        </w:rPr>
        <w:t>динара</w:t>
      </w:r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3410E6">
      <w:pPr>
        <w:jc w:val="both"/>
      </w:pPr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>У овој  партији поступка није учествовао ни</w:t>
      </w:r>
      <w:r w:rsidR="008852EB">
        <w:t xml:space="preserve"> </w:t>
      </w:r>
      <w:r w:rsidR="00A42029" w:rsidRPr="00A42029">
        <w:t>један понуђач.</w:t>
      </w:r>
    </w:p>
    <w:p w:rsidR="00A42029" w:rsidRDefault="00A42029" w:rsidP="003410E6">
      <w:pPr>
        <w:jc w:val="both"/>
      </w:pPr>
    </w:p>
    <w:p w:rsidR="000A6A85" w:rsidRPr="003147A5" w:rsidRDefault="00594362" w:rsidP="003410E6">
      <w:pPr>
        <w:jc w:val="both"/>
      </w:pPr>
      <w:r w:rsidRPr="001F284E">
        <w:rPr>
          <w:rFonts w:eastAsiaTheme="minorHAnsi"/>
          <w:b/>
          <w:lang w:val="en-US"/>
        </w:rPr>
        <w:t>Када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ће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поступак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бити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поново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спроведен</w:t>
      </w:r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r w:rsidR="0057537D" w:rsidRPr="001F284E">
        <w:t xml:space="preserve">поступак ће бити спроведен у </w:t>
      </w:r>
      <w:r w:rsidR="003147A5" w:rsidRPr="003147A5">
        <w:t xml:space="preserve">текућој </w:t>
      </w:r>
      <w:r w:rsidR="003147A5">
        <w:t>буџетској години.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t>Аутономна покрајина Војводина, Република Србија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t>Хајдук Вељкова 1, 21000 Нови Сад,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-адреса</w:t>
          </w:r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3B060E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060E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0F3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96</cp:revision>
  <dcterms:created xsi:type="dcterms:W3CDTF">2013-04-12T07:18:00Z</dcterms:created>
  <dcterms:modified xsi:type="dcterms:W3CDTF">2019-06-03T12:45:00Z</dcterms:modified>
</cp:coreProperties>
</file>