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2F98A911" w:rsidR="00182D90" w:rsidRPr="00A20B26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B12E26">
        <w:rPr>
          <w:noProof/>
        </w:rPr>
        <w:t>195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  <w:r w:rsidR="00A20B26">
        <w:rPr>
          <w:noProof/>
        </w:rPr>
        <w:t>-3</w:t>
      </w:r>
    </w:p>
    <w:p w14:paraId="35EB116F" w14:textId="217A213B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A20B26">
        <w:rPr>
          <w:noProof/>
        </w:rPr>
        <w:t>30</w:t>
      </w:r>
      <w:r w:rsidR="00B12E26">
        <w:rPr>
          <w:noProof/>
        </w:rPr>
        <w:t>.08</w:t>
      </w:r>
      <w:r w:rsidR="00E2481B">
        <w:rPr>
          <w:noProof/>
          <w:lang w:val="en-US"/>
        </w:rPr>
        <w:t>.</w:t>
      </w:r>
      <w:r w:rsidR="00B12E26">
        <w:rPr>
          <w:noProof/>
          <w:lang w:val="en-US"/>
        </w:rPr>
        <w:t xml:space="preserve">2019. 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0104AE9E" w:rsidR="002D282D" w:rsidRPr="00A20B26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A20B26">
        <w:rPr>
          <w:b/>
        </w:rPr>
        <w:t>5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2A3A4273" w14:textId="77777777" w:rsidR="00A20B26" w:rsidRDefault="00A20B26" w:rsidP="00A20B26">
      <w:pPr>
        <w:shd w:val="clear" w:color="auto" w:fill="FFFFFF"/>
        <w:jc w:val="both"/>
        <w:rPr>
          <w:color w:val="333333"/>
          <w:lang w:val="sr-Latn-RS"/>
        </w:rPr>
      </w:pPr>
      <w:r>
        <w:rPr>
          <w:rFonts w:ascii="Arial" w:hAnsi="Arial" w:cs="Arial"/>
          <w:color w:val="333333"/>
        </w:rPr>
        <w:t>1.U vezi sa Javnom nabavkom br. 195-19-O,"Izvođenje radova na objektu Klinike za ginekologiju i</w:t>
      </w:r>
    </w:p>
    <w:p w14:paraId="181409C7" w14:textId="77777777" w:rsidR="00A20B26" w:rsidRDefault="00A20B26" w:rsidP="00A20B26">
      <w:pPr>
        <w:shd w:val="clear" w:color="auto" w:fill="FFFFFF"/>
        <w:rPr>
          <w:color w:val="333333"/>
        </w:rPr>
      </w:pPr>
      <w:r>
        <w:rPr>
          <w:rFonts w:ascii="Arial" w:hAnsi="Arial" w:cs="Arial"/>
          <w:color w:val="333333"/>
        </w:rPr>
        <w:t>akušerstvo Kliničkog centra Vojvodine, Novi Sad lamele B i C", ukazujemo Vam na sledeće:</w:t>
      </w:r>
    </w:p>
    <w:p w14:paraId="53C7C7A9" w14:textId="77777777" w:rsidR="00A20B26" w:rsidRDefault="00A20B26" w:rsidP="00A20B26">
      <w:pPr>
        <w:shd w:val="clear" w:color="auto" w:fill="FFFFFF"/>
        <w:rPr>
          <w:color w:val="333333"/>
        </w:rPr>
      </w:pPr>
      <w:r>
        <w:rPr>
          <w:rFonts w:ascii="Arial" w:hAnsi="Arial" w:cs="Arial"/>
          <w:color w:val="333333"/>
        </w:rPr>
        <w:t> </w:t>
      </w:r>
    </w:p>
    <w:tbl>
      <w:tblPr>
        <w:tblW w:w="2750" w:type="pct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705"/>
        <w:gridCol w:w="605"/>
        <w:gridCol w:w="696"/>
      </w:tblGrid>
      <w:tr w:rsidR="00A20B26" w14:paraId="0233A8DF" w14:textId="77777777" w:rsidTr="00A20B26">
        <w:trPr>
          <w:trHeight w:val="276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6E9B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3.24.2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081F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Испорука материјала ,монтажа и повезивање назидног разводног ормана са следећом уграђеном опремом :                                                   -Аутоматски осигурач 10А ком 15 -Аутоматски осигурач 16А ком 15                                                              -Аутоматски осигурач 3п 25 А ком3                                                              -Гребенасти прекидач 25А 3п ком3                                                                 -Н шина                         ком3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88F8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67AA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A20B26" w14:paraId="06D2F638" w14:textId="77777777" w:rsidTr="00A20B26">
        <w:trPr>
          <w:trHeight w:val="276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22AC3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33B7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-ПЕ шина                        ком 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FB8CA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0F7E6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A20B26" w14:paraId="07413E48" w14:textId="77777777" w:rsidTr="00A20B26">
        <w:trPr>
          <w:trHeight w:val="276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76A4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698A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-ДИН шина                      м 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A58D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50AEF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A20B26" w14:paraId="703D023D" w14:textId="77777777" w:rsidTr="00A20B26">
        <w:trPr>
          <w:trHeight w:val="276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0042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3.25.1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D559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-РСТ чешаљ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6411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A483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A20B26" w14:paraId="368D109B" w14:textId="77777777" w:rsidTr="00A20B26">
        <w:trPr>
          <w:trHeight w:val="276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D764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3.25.1.1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13A2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-Кабл. уводница  16мм  ком 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14E0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CC37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150</w:t>
            </w:r>
          </w:p>
        </w:tc>
      </w:tr>
      <w:tr w:rsidR="00A20B26" w14:paraId="2F205065" w14:textId="77777777" w:rsidTr="00A20B26">
        <w:trPr>
          <w:trHeight w:val="276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CDBE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3.25. 1.2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DE25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-Кабл.уводница 30мм ком 3                                                            -Редне стезаљке 2,5мм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0F67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B3B7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</w:tr>
      <w:tr w:rsidR="00A20B26" w14:paraId="2F287916" w14:textId="77777777" w:rsidTr="00A20B26">
        <w:trPr>
          <w:trHeight w:val="276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EF2A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3.25. 1.3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C1C7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Комплетно испоручен и повезан РО-МС2              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A685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1EAC6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</w:tr>
      <w:tr w:rsidR="00A20B26" w14:paraId="283118B9" w14:textId="77777777" w:rsidTr="00A20B26">
        <w:trPr>
          <w:trHeight w:val="276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FB96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3.25. 1.4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84FA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62B6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8535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50</w:t>
            </w:r>
          </w:p>
        </w:tc>
      </w:tr>
      <w:tr w:rsidR="00A20B26" w14:paraId="19CAD470" w14:textId="77777777" w:rsidTr="00A20B26">
        <w:trPr>
          <w:trHeight w:val="276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3C35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3.25. 1.5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B6A4" w14:textId="77777777" w:rsidR="00A20B26" w:rsidRDefault="00A20B26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3.25 ИНСТАЛАЦИЈА ОСВЕТЉЕЊА И ПРИКЉУЧНИЦА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6EF2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0AB0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4000</w:t>
            </w:r>
          </w:p>
        </w:tc>
      </w:tr>
    </w:tbl>
    <w:p w14:paraId="15447FA4" w14:textId="77777777" w:rsidR="00A20B26" w:rsidRDefault="00A20B26" w:rsidP="00A20B26">
      <w:pPr>
        <w:shd w:val="clear" w:color="auto" w:fill="FFFFFF"/>
        <w:rPr>
          <w:color w:val="333333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14:paraId="7FE17DD5" w14:textId="77777777" w:rsidR="00A20B26" w:rsidRDefault="00A20B26" w:rsidP="00A20B26">
      <w:pPr>
        <w:shd w:val="clear" w:color="auto" w:fill="FFFFFF"/>
        <w:rPr>
          <w:color w:val="333333"/>
        </w:rPr>
      </w:pPr>
      <w:r>
        <w:rPr>
          <w:rFonts w:ascii="Arial" w:hAnsi="Arial" w:cs="Arial"/>
          <w:color w:val="333333"/>
          <w:sz w:val="22"/>
          <w:szCs w:val="22"/>
        </w:rPr>
        <w:t>Ovo se nalazi na 185 strani.</w:t>
      </w:r>
    </w:p>
    <w:p w14:paraId="08A54A9F" w14:textId="77777777" w:rsidR="00A20B26" w:rsidRDefault="00A20B26" w:rsidP="00A20B26">
      <w:pPr>
        <w:shd w:val="clear" w:color="auto" w:fill="FFFFFF"/>
        <w:rPr>
          <w:color w:val="333333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14:paraId="482C5B27" w14:textId="77777777" w:rsidR="00A20B26" w:rsidRDefault="00A20B26" w:rsidP="00A20B26">
      <w:pPr>
        <w:shd w:val="clear" w:color="auto" w:fill="FFFFFF"/>
        <w:spacing w:after="240"/>
        <w:jc w:val="both"/>
        <w:rPr>
          <w:color w:val="333333"/>
        </w:rPr>
      </w:pPr>
      <w:r>
        <w:rPr>
          <w:rFonts w:ascii="Arial" w:hAnsi="Arial" w:cs="Arial"/>
          <w:color w:val="333333"/>
        </w:rPr>
        <w:t>Pretpostavljamo da je ovo očigledna greška, te Vam skrećemo pažnju da izvršite ispravku konkursne dokumentacije i u skladu sa Članom 63. produžite rok za dostavljanje ponuda.</w:t>
      </w:r>
    </w:p>
    <w:p w14:paraId="68B1B325" w14:textId="77777777" w:rsidR="00A20B26" w:rsidRDefault="00A20B26" w:rsidP="00A20B26">
      <w:pPr>
        <w:shd w:val="clear" w:color="auto" w:fill="FFFFFF"/>
        <w:spacing w:after="240"/>
        <w:jc w:val="both"/>
        <w:rPr>
          <w:color w:val="333333"/>
        </w:rPr>
      </w:pPr>
      <w:r>
        <w:rPr>
          <w:rFonts w:ascii="Arial" w:hAnsi="Arial" w:cs="Arial"/>
          <w:color w:val="333333"/>
        </w:rPr>
        <w:t>Kako su na još dva mesta ispod količine "1600" navedene količine od 50 i 4000 koje se ne odnose ni na šta, naša je pretpostavka da je došlo do pomeranja vrednosti količina u</w:t>
      </w:r>
    </w:p>
    <w:p w14:paraId="04327354" w14:textId="77777777" w:rsidR="00A20B26" w:rsidRDefault="00A20B26" w:rsidP="00A20B26">
      <w:pPr>
        <w:shd w:val="clear" w:color="auto" w:fill="FFFFFF"/>
        <w:spacing w:after="240"/>
        <w:jc w:val="both"/>
        <w:rPr>
          <w:color w:val="333333"/>
        </w:rPr>
      </w:pPr>
      <w:r>
        <w:rPr>
          <w:rFonts w:ascii="Arial" w:hAnsi="Arial" w:cs="Arial"/>
          <w:color w:val="333333"/>
        </w:rPr>
        <w:t>tabeli, te Vam predlažemo da proverite i sve ostale količine opreme i radova, kako bi se izbegle potencijalne greške u kasnijem toku procesa javne nabavke.</w:t>
      </w:r>
    </w:p>
    <w:p w14:paraId="1E7F0BAD" w14:textId="77777777" w:rsidR="00A20B26" w:rsidRDefault="00A20B26" w:rsidP="00A20B26">
      <w:pPr>
        <w:shd w:val="clear" w:color="auto" w:fill="FFFFFF"/>
        <w:rPr>
          <w:color w:val="333333"/>
        </w:rPr>
      </w:pPr>
      <w:r>
        <w:rPr>
          <w:rFonts w:ascii="Arial" w:hAnsi="Arial" w:cs="Arial"/>
          <w:color w:val="333333"/>
          <w:sz w:val="22"/>
          <w:szCs w:val="22"/>
        </w:rPr>
        <w:t>2.Na strani 247 postoje upisane cene pored količina.</w:t>
      </w:r>
    </w:p>
    <w:tbl>
      <w:tblPr>
        <w:tblW w:w="2350" w:type="pct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976"/>
        <w:gridCol w:w="703"/>
        <w:gridCol w:w="336"/>
        <w:gridCol w:w="876"/>
      </w:tblGrid>
      <w:tr w:rsidR="00A20B26" w14:paraId="7D3EC615" w14:textId="77777777" w:rsidTr="00A20B26">
        <w:trPr>
          <w:trHeight w:val="276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9B22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lastRenderedPageBreak/>
              <w:t> 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0C12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Tip: FKRS-EU/DE/Z00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C22A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BA4DE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0A9CB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A20B26" w14:paraId="76263126" w14:textId="77777777" w:rsidTr="00A20B26">
        <w:trPr>
          <w:trHeight w:val="276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FEB3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7.4.7.1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0899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FKRS-EU/DE/Z00/Ø250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9AE5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kom.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DF758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AEA2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32.000</w:t>
            </w:r>
          </w:p>
        </w:tc>
      </w:tr>
      <w:tr w:rsidR="00A20B26" w14:paraId="18FB1985" w14:textId="77777777" w:rsidTr="00A20B26">
        <w:trPr>
          <w:trHeight w:val="276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876C4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7.4.7.2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0FB3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FKRS-EU/DE/Z00/Ø160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1F57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kom.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33A3A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92F2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32.000</w:t>
            </w:r>
          </w:p>
        </w:tc>
      </w:tr>
      <w:tr w:rsidR="00A20B26" w14:paraId="3817D6D7" w14:textId="77777777" w:rsidTr="00A20B26">
        <w:trPr>
          <w:trHeight w:val="276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C15B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7.4.7.3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A92E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FKRS-EU/DE/Z00/Ø125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43EB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kom.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1721A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2038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32.000</w:t>
            </w:r>
          </w:p>
        </w:tc>
      </w:tr>
      <w:tr w:rsidR="00A20B26" w14:paraId="2BB42F7B" w14:textId="77777777" w:rsidTr="00A20B26">
        <w:trPr>
          <w:trHeight w:val="276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CF6D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7.4.7.4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7297D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FKRS-EU/DE/Z00/Ø200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96A6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kom.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32A0F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4D6E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32.000</w:t>
            </w:r>
          </w:p>
        </w:tc>
      </w:tr>
      <w:tr w:rsidR="00A20B26" w14:paraId="46CC55FD" w14:textId="77777777" w:rsidTr="00A20B26">
        <w:trPr>
          <w:trHeight w:val="276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5634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7.4.7.5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DE8A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FKR-EU/DE/Z00/Ø355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F8D9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kom.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D76D2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415D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32.000</w:t>
            </w:r>
          </w:p>
        </w:tc>
      </w:tr>
      <w:tr w:rsidR="00A20B26" w14:paraId="3E4C6B95" w14:textId="77777777" w:rsidTr="00A20B26">
        <w:trPr>
          <w:trHeight w:val="276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BB682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  <w:lang w:val="sr-Cyrl-RS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6CC5" w14:textId="77777777" w:rsidR="00A20B26" w:rsidRDefault="00A20B26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UKUPNO ODSISNA VENTILACIJA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AFB7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3B369" w14:textId="77777777" w:rsidR="00A20B26" w:rsidRDefault="00A20B2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71E7" w14:textId="77777777" w:rsidR="00A20B26" w:rsidRDefault="00A20B26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14:paraId="14C8039B" w14:textId="77777777" w:rsidR="00A20B26" w:rsidRDefault="00A20B26" w:rsidP="00A20B26">
      <w:pPr>
        <w:shd w:val="clear" w:color="auto" w:fill="FFFFFF"/>
        <w:rPr>
          <w:color w:val="333333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14:paraId="583F07EE" w14:textId="77777777" w:rsidR="00A20B26" w:rsidRDefault="00A20B26" w:rsidP="00A20B26">
      <w:pPr>
        <w:shd w:val="clear" w:color="auto" w:fill="FFFFFF"/>
        <w:rPr>
          <w:color w:val="333333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14:paraId="05201F43" w14:textId="77777777" w:rsidR="00A20B26" w:rsidRDefault="00A20B26" w:rsidP="00A20B26">
      <w:pPr>
        <w:shd w:val="clear" w:color="auto" w:fill="FFFFFF"/>
        <w:rPr>
          <w:color w:val="333333"/>
        </w:rPr>
      </w:pPr>
      <w:r>
        <w:rPr>
          <w:rFonts w:ascii="Arial" w:hAnsi="Arial" w:cs="Arial"/>
          <w:color w:val="333333"/>
          <w:sz w:val="22"/>
          <w:szCs w:val="22"/>
        </w:rPr>
        <w:t>Zbog svega navedenog predlažemo da se izvrši ispravka konkursne dokumentacije i produži rok.</w:t>
      </w:r>
    </w:p>
    <w:p w14:paraId="344B88FC" w14:textId="77777777" w:rsidR="00E5108C" w:rsidRPr="006A6626" w:rsidRDefault="00E5108C" w:rsidP="006A6626">
      <w:pPr>
        <w:shd w:val="clear" w:color="auto" w:fill="FFFFFF"/>
        <w:spacing w:before="100" w:beforeAutospacing="1" w:after="100" w:afterAutospacing="1"/>
        <w:jc w:val="both"/>
        <w:rPr>
          <w:b/>
          <w:i/>
          <w:iCs/>
          <w:lang w:val="sr-Latn-RS" w:eastAsia="sr-Latn-RS"/>
        </w:rPr>
      </w:pPr>
    </w:p>
    <w:p w14:paraId="777C25A4" w14:textId="4043A4E4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bookmarkStart w:id="0" w:name="_GoBack"/>
      <w:bookmarkEnd w:id="0"/>
    </w:p>
    <w:p w14:paraId="460DAA16" w14:textId="77777777" w:rsidR="00A20B26" w:rsidRPr="00DD71F2" w:rsidRDefault="00A20B26" w:rsidP="00A20B26">
      <w:pPr>
        <w:shd w:val="clear" w:color="auto" w:fill="FFFFFF"/>
        <w:rPr>
          <w:noProof/>
          <w:lang w:val="sr-Cyrl-RS"/>
        </w:rPr>
      </w:pPr>
      <w:r w:rsidRPr="00DD71F2"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</w:t>
      </w:r>
      <w:r>
        <w:rPr>
          <w:noProof/>
        </w:rPr>
        <w:t xml:space="preserve"> </w:t>
      </w:r>
      <w:r>
        <w:rPr>
          <w:noProof/>
          <w:lang w:val="sr-Cyrl-RS"/>
        </w:rPr>
        <w:t>и продужиће рок за достављање понуда у складу са Законом о јавним набавкама</w:t>
      </w:r>
      <w:r w:rsidRPr="00DD71F2">
        <w:rPr>
          <w:noProof/>
          <w:lang w:val="sr-Cyrl-RS"/>
        </w:rPr>
        <w:t>.</w:t>
      </w:r>
    </w:p>
    <w:p w14:paraId="1542D720" w14:textId="77777777" w:rsidR="00A20B26" w:rsidRPr="00DD71F2" w:rsidRDefault="00A20B26" w:rsidP="00A20B26">
      <w:pPr>
        <w:shd w:val="clear" w:color="auto" w:fill="FFFFFF"/>
        <w:rPr>
          <w:noProof/>
          <w:lang w:val="sr-Cyrl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0FB42850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E5108C">
        <w:t>1</w:t>
      </w:r>
      <w:r w:rsidR="00807BF8">
        <w:t>95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8F115" w14:textId="77777777" w:rsidR="001E2712" w:rsidRDefault="001E2712" w:rsidP="00C068CE">
      <w:r>
        <w:separator/>
      </w:r>
    </w:p>
  </w:endnote>
  <w:endnote w:type="continuationSeparator" w:id="0">
    <w:p w14:paraId="5BB00DBC" w14:textId="77777777" w:rsidR="001E2712" w:rsidRDefault="001E271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A20B26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F5E1" w14:textId="77777777" w:rsidR="001E2712" w:rsidRDefault="001E2712" w:rsidP="00C068CE">
      <w:r>
        <w:separator/>
      </w:r>
    </w:p>
  </w:footnote>
  <w:footnote w:type="continuationSeparator" w:id="0">
    <w:p w14:paraId="1B430B65" w14:textId="77777777" w:rsidR="001E2712" w:rsidRDefault="001E271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A20B26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8657183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A20B26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2596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4B1E"/>
    <w:multiLevelType w:val="hybridMultilevel"/>
    <w:tmpl w:val="1E0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A6626"/>
    <w:rsid w:val="006C6B53"/>
    <w:rsid w:val="00703A9A"/>
    <w:rsid w:val="00705050"/>
    <w:rsid w:val="00726A70"/>
    <w:rsid w:val="00742ED7"/>
    <w:rsid w:val="00747FD9"/>
    <w:rsid w:val="00762498"/>
    <w:rsid w:val="007C3D60"/>
    <w:rsid w:val="007D1FE3"/>
    <w:rsid w:val="007E25ED"/>
    <w:rsid w:val="007F2C78"/>
    <w:rsid w:val="00807BF8"/>
    <w:rsid w:val="008545E1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0B2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12E26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6459ECD6-A4DA-4C73-ACF0-7EF7E8E8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E148-33BE-42C0-A832-827BC6EA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107</cp:revision>
  <cp:lastPrinted>2011-12-19T08:37:00Z</cp:lastPrinted>
  <dcterms:created xsi:type="dcterms:W3CDTF">2015-08-25T10:51:00Z</dcterms:created>
  <dcterms:modified xsi:type="dcterms:W3CDTF">2019-08-30T06:00:00Z</dcterms:modified>
</cp:coreProperties>
</file>