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634879"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8F7170"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8F7170" w:rsidRDefault="00D10583" w:rsidP="00A65049">
      <w:pPr>
        <w:pStyle w:val="Footer"/>
        <w:tabs>
          <w:tab w:val="left" w:pos="720"/>
        </w:tabs>
        <w:spacing w:after="4000"/>
        <w:ind w:right="-64"/>
        <w:rPr>
          <w:b/>
          <w:noProof/>
          <w:lang w:val="sr-Cyrl-RS"/>
        </w:rPr>
      </w:pPr>
      <w:r>
        <w:rPr>
          <w:b/>
          <w:noProof/>
        </w:rPr>
        <w:t>Број:</w:t>
      </w:r>
      <w:r w:rsidR="000D7BE2">
        <w:rPr>
          <w:b/>
          <w:noProof/>
        </w:rPr>
        <w:t xml:space="preserve"> </w:t>
      </w:r>
      <w:r w:rsidR="008D1AE6">
        <w:rPr>
          <w:b/>
          <w:noProof/>
        </w:rPr>
        <w:t>30</w:t>
      </w:r>
      <w:r w:rsidR="00FE43B9">
        <w:rPr>
          <w:b/>
          <w:noProof/>
        </w:rPr>
        <w:t>2</w:t>
      </w:r>
      <w:r w:rsidR="00CB204D">
        <w:rPr>
          <w:b/>
          <w:noProof/>
        </w:rPr>
        <w:t>-19</w:t>
      </w:r>
      <w:r w:rsidR="00A65049">
        <w:rPr>
          <w:b/>
          <w:noProof/>
        </w:rPr>
        <w:t>-О/1</w:t>
      </w:r>
      <w:r w:rsidR="008F7170" w:rsidRPr="008F7170">
        <w:rPr>
          <w:b/>
          <w:noProof/>
          <w:color w:val="FF0000"/>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D1AE6" w:rsidRPr="00FE43B9" w:rsidRDefault="00FE43B9" w:rsidP="00B84C11">
      <w:pPr>
        <w:pStyle w:val="Footer"/>
        <w:jc w:val="center"/>
        <w:rPr>
          <w:b/>
          <w:sz w:val="28"/>
          <w:szCs w:val="28"/>
        </w:rPr>
      </w:pPr>
      <w:r w:rsidRPr="00FE43B9">
        <w:rPr>
          <w:b/>
          <w:sz w:val="28"/>
          <w:szCs w:val="28"/>
          <w:lang w:val="sr-Cyrl-CS"/>
        </w:rPr>
        <w:t>Набавка</w:t>
      </w:r>
      <w:r w:rsidRPr="00FE43B9">
        <w:rPr>
          <w:b/>
          <w:sz w:val="28"/>
          <w:szCs w:val="28"/>
        </w:rPr>
        <w:t xml:space="preserve"> </w:t>
      </w:r>
      <w:r w:rsidRPr="00FE43B9">
        <w:rPr>
          <w:b/>
          <w:sz w:val="28"/>
          <w:szCs w:val="28"/>
          <w:lang w:val="sr-Cyrl-RS"/>
        </w:rPr>
        <w:t xml:space="preserve">трака за хируршки третман уринарне инконтиненције </w:t>
      </w:r>
      <w:r w:rsidRPr="00FE43B9">
        <w:rPr>
          <w:b/>
          <w:sz w:val="28"/>
          <w:szCs w:val="28"/>
        </w:rPr>
        <w:t>за потребе Клиничког центра Војводине</w:t>
      </w:r>
    </w:p>
    <w:p w:rsidR="00FE43B9" w:rsidRPr="00FE43B9" w:rsidRDefault="00FE43B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AE6">
        <w:rPr>
          <w:b/>
          <w:noProof/>
          <w:sz w:val="28"/>
          <w:szCs w:val="28"/>
        </w:rPr>
        <w:t>30</w:t>
      </w:r>
      <w:r w:rsidR="00FE43B9">
        <w:rPr>
          <w:b/>
          <w:noProof/>
          <w:sz w:val="28"/>
          <w:szCs w:val="28"/>
        </w:rPr>
        <w:t>2</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Pr="008F7170" w:rsidRDefault="008F7170" w:rsidP="00E45538">
      <w:pPr>
        <w:pStyle w:val="Footer"/>
        <w:tabs>
          <w:tab w:val="left" w:pos="720"/>
        </w:tabs>
        <w:rPr>
          <w:noProof/>
          <w:color w:val="FF0000"/>
          <w:lang w:val="sr-Cyrl-CS"/>
        </w:rPr>
      </w:pPr>
      <w:r w:rsidRPr="008F7170">
        <w:rPr>
          <w:noProof/>
          <w:color w:val="FF0000"/>
          <w:lang w:val="sr-Cyrl-CS"/>
        </w:rPr>
        <w:t>*Измена извршена</w:t>
      </w:r>
      <w:r>
        <w:rPr>
          <w:noProof/>
          <w:color w:val="FF0000"/>
          <w:lang w:val="sr-Cyrl-CS"/>
        </w:rPr>
        <w:t xml:space="preserve"> </w:t>
      </w:r>
      <w:r w:rsidRPr="008F7170">
        <w:rPr>
          <w:noProof/>
          <w:color w:val="FF0000"/>
          <w:lang w:val="sr-Cyrl-CS"/>
        </w:rPr>
        <w:t>у наслову обрасца понуде за партију бр. 2</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D1AE6">
        <w:rPr>
          <w:b/>
          <w:noProof/>
        </w:rPr>
        <w:t>новембар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EF4270" w:rsidRPr="008D1AE6" w:rsidRDefault="00EF4270"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E43B9" w:rsidRPr="00FE43B9" w:rsidRDefault="00B84C11" w:rsidP="00FE43B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D1AE6">
        <w:rPr>
          <w:b/>
          <w:noProof/>
        </w:rPr>
        <w:t>30</w:t>
      </w:r>
      <w:r w:rsidR="00FE43B9">
        <w:rPr>
          <w:b/>
          <w:noProof/>
        </w:rPr>
        <w:t>2</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FE43B9" w:rsidRPr="00FE43B9">
        <w:rPr>
          <w:b/>
          <w:lang w:val="sr-Cyrl-CS"/>
        </w:rPr>
        <w:t>Набавка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A591D">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961F30">
              <w:rPr>
                <w:webHidden/>
              </w:rPr>
              <w:t>1</w:t>
            </w:r>
            <w:r>
              <w:rPr>
                <w:webHidden/>
              </w:rPr>
              <w:fldChar w:fldCharType="end"/>
            </w:r>
          </w:hyperlink>
        </w:p>
        <w:p w:rsidR="00770491" w:rsidRDefault="008F7170"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A591D">
              <w:rPr>
                <w:noProof/>
                <w:webHidden/>
              </w:rPr>
              <w:fldChar w:fldCharType="begin"/>
            </w:r>
            <w:r w:rsidR="00770491">
              <w:rPr>
                <w:noProof/>
                <w:webHidden/>
              </w:rPr>
              <w:instrText xml:space="preserve"> PAGEREF _Toc2843293 \h </w:instrText>
            </w:r>
            <w:r w:rsidR="000A591D">
              <w:rPr>
                <w:noProof/>
                <w:webHidden/>
              </w:rPr>
            </w:r>
            <w:r w:rsidR="000A591D">
              <w:rPr>
                <w:noProof/>
                <w:webHidden/>
              </w:rPr>
              <w:fldChar w:fldCharType="separate"/>
            </w:r>
            <w:r w:rsidR="00961F30">
              <w:rPr>
                <w:noProof/>
                <w:webHidden/>
              </w:rPr>
              <w:t>3</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A591D">
              <w:rPr>
                <w:noProof/>
                <w:webHidden/>
              </w:rPr>
              <w:fldChar w:fldCharType="begin"/>
            </w:r>
            <w:r w:rsidR="00770491">
              <w:rPr>
                <w:noProof/>
                <w:webHidden/>
              </w:rPr>
              <w:instrText xml:space="preserve"> PAGEREF _Toc2843294 \h </w:instrText>
            </w:r>
            <w:r w:rsidR="000A591D">
              <w:rPr>
                <w:noProof/>
                <w:webHidden/>
              </w:rPr>
            </w:r>
            <w:r w:rsidR="000A591D">
              <w:rPr>
                <w:noProof/>
                <w:webHidden/>
              </w:rPr>
              <w:fldChar w:fldCharType="separate"/>
            </w:r>
            <w:r w:rsidR="00961F30">
              <w:rPr>
                <w:noProof/>
                <w:webHidden/>
              </w:rPr>
              <w:t>4</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A591D">
              <w:rPr>
                <w:noProof/>
                <w:webHidden/>
              </w:rPr>
              <w:fldChar w:fldCharType="begin"/>
            </w:r>
            <w:r w:rsidR="00770491">
              <w:rPr>
                <w:noProof/>
                <w:webHidden/>
              </w:rPr>
              <w:instrText xml:space="preserve"> PAGEREF _Toc2843295 \h </w:instrText>
            </w:r>
            <w:r w:rsidR="000A591D">
              <w:rPr>
                <w:noProof/>
                <w:webHidden/>
              </w:rPr>
            </w:r>
            <w:r w:rsidR="000A591D">
              <w:rPr>
                <w:noProof/>
                <w:webHidden/>
              </w:rPr>
              <w:fldChar w:fldCharType="separate"/>
            </w:r>
            <w:r w:rsidR="00961F30">
              <w:rPr>
                <w:noProof/>
                <w:webHidden/>
              </w:rPr>
              <w:t>5</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0A591D">
              <w:rPr>
                <w:noProof/>
                <w:webHidden/>
              </w:rPr>
              <w:fldChar w:fldCharType="begin"/>
            </w:r>
            <w:r w:rsidR="00770491">
              <w:rPr>
                <w:noProof/>
                <w:webHidden/>
              </w:rPr>
              <w:instrText xml:space="preserve"> PAGEREF _Toc2843296 \h </w:instrText>
            </w:r>
            <w:r w:rsidR="000A591D">
              <w:rPr>
                <w:noProof/>
                <w:webHidden/>
              </w:rPr>
            </w:r>
            <w:r w:rsidR="000A591D">
              <w:rPr>
                <w:noProof/>
                <w:webHidden/>
              </w:rPr>
              <w:fldChar w:fldCharType="separate"/>
            </w:r>
            <w:r w:rsidR="00961F30">
              <w:rPr>
                <w:noProof/>
                <w:webHidden/>
              </w:rPr>
              <w:t>6</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A591D">
              <w:rPr>
                <w:noProof/>
                <w:webHidden/>
              </w:rPr>
              <w:fldChar w:fldCharType="begin"/>
            </w:r>
            <w:r w:rsidR="00770491">
              <w:rPr>
                <w:noProof/>
                <w:webHidden/>
              </w:rPr>
              <w:instrText xml:space="preserve"> PAGEREF _Toc2843297 \h </w:instrText>
            </w:r>
            <w:r w:rsidR="000A591D">
              <w:rPr>
                <w:noProof/>
                <w:webHidden/>
              </w:rPr>
            </w:r>
            <w:r w:rsidR="000A591D">
              <w:rPr>
                <w:noProof/>
                <w:webHidden/>
              </w:rPr>
              <w:fldChar w:fldCharType="separate"/>
            </w:r>
            <w:r w:rsidR="00961F30">
              <w:rPr>
                <w:noProof/>
                <w:webHidden/>
              </w:rPr>
              <w:t>10</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A591D">
              <w:rPr>
                <w:noProof/>
                <w:webHidden/>
              </w:rPr>
              <w:fldChar w:fldCharType="begin"/>
            </w:r>
            <w:r w:rsidR="00770491">
              <w:rPr>
                <w:noProof/>
                <w:webHidden/>
              </w:rPr>
              <w:instrText xml:space="preserve"> PAGEREF _Toc2843298 \h </w:instrText>
            </w:r>
            <w:r w:rsidR="000A591D">
              <w:rPr>
                <w:noProof/>
                <w:webHidden/>
              </w:rPr>
            </w:r>
            <w:r w:rsidR="000A591D">
              <w:rPr>
                <w:noProof/>
                <w:webHidden/>
              </w:rPr>
              <w:fldChar w:fldCharType="separate"/>
            </w:r>
            <w:r w:rsidR="00961F30">
              <w:rPr>
                <w:noProof/>
                <w:webHidden/>
              </w:rPr>
              <w:t>19</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A591D">
              <w:rPr>
                <w:noProof/>
                <w:webHidden/>
              </w:rPr>
              <w:fldChar w:fldCharType="begin"/>
            </w:r>
            <w:r w:rsidR="00770491">
              <w:rPr>
                <w:noProof/>
                <w:webHidden/>
              </w:rPr>
              <w:instrText xml:space="preserve"> PAGEREF _Toc2843321 \h </w:instrText>
            </w:r>
            <w:r w:rsidR="000A591D">
              <w:rPr>
                <w:noProof/>
                <w:webHidden/>
              </w:rPr>
            </w:r>
            <w:r w:rsidR="000A591D">
              <w:rPr>
                <w:noProof/>
                <w:webHidden/>
              </w:rPr>
              <w:fldChar w:fldCharType="separate"/>
            </w:r>
            <w:r w:rsidR="00961F30">
              <w:rPr>
                <w:noProof/>
                <w:webHidden/>
              </w:rPr>
              <w:t>25</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A591D">
              <w:rPr>
                <w:noProof/>
                <w:webHidden/>
              </w:rPr>
              <w:fldChar w:fldCharType="begin"/>
            </w:r>
            <w:r w:rsidR="00770491">
              <w:rPr>
                <w:noProof/>
                <w:webHidden/>
              </w:rPr>
              <w:instrText xml:space="preserve"> PAGEREF _Toc2843322 \h </w:instrText>
            </w:r>
            <w:r w:rsidR="000A591D">
              <w:rPr>
                <w:noProof/>
                <w:webHidden/>
              </w:rPr>
            </w:r>
            <w:r w:rsidR="000A591D">
              <w:rPr>
                <w:noProof/>
                <w:webHidden/>
              </w:rPr>
              <w:fldChar w:fldCharType="separate"/>
            </w:r>
            <w:r w:rsidR="00961F30">
              <w:rPr>
                <w:noProof/>
                <w:webHidden/>
              </w:rPr>
              <w:t>26</w:t>
            </w:r>
            <w:r w:rsidR="000A591D">
              <w:rPr>
                <w:noProof/>
                <w:webHidden/>
              </w:rPr>
              <w:fldChar w:fldCharType="end"/>
            </w:r>
          </w:hyperlink>
        </w:p>
        <w:p w:rsidR="00770491" w:rsidRDefault="008F717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A591D">
              <w:rPr>
                <w:noProof/>
                <w:webHidden/>
              </w:rPr>
              <w:fldChar w:fldCharType="begin"/>
            </w:r>
            <w:r w:rsidR="00770491">
              <w:rPr>
                <w:noProof/>
                <w:webHidden/>
              </w:rPr>
              <w:instrText xml:space="preserve"> PAGEREF _Toc2843323 \h </w:instrText>
            </w:r>
            <w:r w:rsidR="000A591D">
              <w:rPr>
                <w:noProof/>
                <w:webHidden/>
              </w:rPr>
            </w:r>
            <w:r w:rsidR="000A591D">
              <w:rPr>
                <w:noProof/>
                <w:webHidden/>
              </w:rPr>
              <w:fldChar w:fldCharType="separate"/>
            </w:r>
            <w:r w:rsidR="00961F30">
              <w:rPr>
                <w:noProof/>
                <w:webHidden/>
              </w:rPr>
              <w:t>27</w:t>
            </w:r>
            <w:r w:rsidR="000A591D">
              <w:rPr>
                <w:noProof/>
                <w:webHidden/>
              </w:rPr>
              <w:fldChar w:fldCharType="end"/>
            </w:r>
          </w:hyperlink>
        </w:p>
        <w:p w:rsidR="00770491" w:rsidRDefault="008F717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A591D">
              <w:rPr>
                <w:noProof/>
                <w:webHidden/>
              </w:rPr>
              <w:fldChar w:fldCharType="begin"/>
            </w:r>
            <w:r w:rsidR="00770491">
              <w:rPr>
                <w:noProof/>
                <w:webHidden/>
              </w:rPr>
              <w:instrText xml:space="preserve"> PAGEREF _Toc2843324 \h </w:instrText>
            </w:r>
            <w:r w:rsidR="000A591D">
              <w:rPr>
                <w:noProof/>
                <w:webHidden/>
              </w:rPr>
            </w:r>
            <w:r w:rsidR="000A591D">
              <w:rPr>
                <w:noProof/>
                <w:webHidden/>
              </w:rPr>
              <w:fldChar w:fldCharType="separate"/>
            </w:r>
            <w:r w:rsidR="00961F30">
              <w:rPr>
                <w:noProof/>
                <w:webHidden/>
              </w:rPr>
              <w:t>28</w:t>
            </w:r>
            <w:r w:rsidR="000A591D">
              <w:rPr>
                <w:noProof/>
                <w:webHidden/>
              </w:rPr>
              <w:fldChar w:fldCharType="end"/>
            </w:r>
          </w:hyperlink>
        </w:p>
        <w:p w:rsidR="00770491" w:rsidRDefault="008F717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A591D">
              <w:rPr>
                <w:noProof/>
                <w:webHidden/>
              </w:rPr>
              <w:fldChar w:fldCharType="begin"/>
            </w:r>
            <w:r w:rsidR="00770491">
              <w:rPr>
                <w:noProof/>
                <w:webHidden/>
              </w:rPr>
              <w:instrText xml:space="preserve"> PAGEREF _Toc2843325 \h </w:instrText>
            </w:r>
            <w:r w:rsidR="000A591D">
              <w:rPr>
                <w:noProof/>
                <w:webHidden/>
              </w:rPr>
            </w:r>
            <w:r w:rsidR="000A591D">
              <w:rPr>
                <w:noProof/>
                <w:webHidden/>
              </w:rPr>
              <w:fldChar w:fldCharType="separate"/>
            </w:r>
            <w:r w:rsidR="00961F30">
              <w:rPr>
                <w:noProof/>
                <w:webHidden/>
              </w:rPr>
              <w:t>29</w:t>
            </w:r>
            <w:r w:rsidR="000A591D">
              <w:rPr>
                <w:noProof/>
                <w:webHidden/>
              </w:rPr>
              <w:fldChar w:fldCharType="end"/>
            </w:r>
          </w:hyperlink>
        </w:p>
        <w:p w:rsidR="00770491" w:rsidRDefault="008F717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A591D">
              <w:rPr>
                <w:noProof/>
                <w:webHidden/>
              </w:rPr>
              <w:fldChar w:fldCharType="begin"/>
            </w:r>
            <w:r w:rsidR="00770491">
              <w:rPr>
                <w:noProof/>
                <w:webHidden/>
              </w:rPr>
              <w:instrText xml:space="preserve"> PAGEREF _Toc2843326 \h </w:instrText>
            </w:r>
            <w:r w:rsidR="000A591D">
              <w:rPr>
                <w:noProof/>
                <w:webHidden/>
              </w:rPr>
            </w:r>
            <w:r w:rsidR="000A591D">
              <w:rPr>
                <w:noProof/>
                <w:webHidden/>
              </w:rPr>
              <w:fldChar w:fldCharType="separate"/>
            </w:r>
            <w:r w:rsidR="00961F30">
              <w:rPr>
                <w:noProof/>
                <w:webHidden/>
              </w:rPr>
              <w:t>33</w:t>
            </w:r>
            <w:r w:rsidR="000A591D">
              <w:rPr>
                <w:noProof/>
                <w:webHidden/>
              </w:rPr>
              <w:fldChar w:fldCharType="end"/>
            </w:r>
          </w:hyperlink>
        </w:p>
        <w:p w:rsidR="00770491" w:rsidRDefault="008F717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A591D">
              <w:rPr>
                <w:noProof/>
                <w:webHidden/>
              </w:rPr>
              <w:fldChar w:fldCharType="begin"/>
            </w:r>
            <w:r w:rsidR="00770491">
              <w:rPr>
                <w:noProof/>
                <w:webHidden/>
              </w:rPr>
              <w:instrText xml:space="preserve"> PAGEREF _Toc2843327 \h </w:instrText>
            </w:r>
            <w:r w:rsidR="000A591D">
              <w:rPr>
                <w:noProof/>
                <w:webHidden/>
              </w:rPr>
            </w:r>
            <w:r w:rsidR="000A591D">
              <w:rPr>
                <w:noProof/>
                <w:webHidden/>
              </w:rPr>
              <w:fldChar w:fldCharType="separate"/>
            </w:r>
            <w:r w:rsidR="00961F30">
              <w:rPr>
                <w:noProof/>
                <w:webHidden/>
              </w:rPr>
              <w:t>34</w:t>
            </w:r>
            <w:r w:rsidR="000A591D">
              <w:rPr>
                <w:noProof/>
                <w:webHidden/>
              </w:rPr>
              <w:fldChar w:fldCharType="end"/>
            </w:r>
          </w:hyperlink>
        </w:p>
        <w:p w:rsidR="009B75C5" w:rsidRDefault="000A59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FE43B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FE43B9" w:rsidRDefault="00FE43B9" w:rsidP="00FE43B9">
            <w:pPr>
              <w:pStyle w:val="Footer"/>
              <w:jc w:val="both"/>
              <w:rPr>
                <w:b/>
              </w:rPr>
            </w:pPr>
            <w:r>
              <w:rPr>
                <w:b/>
                <w:noProof/>
              </w:rPr>
              <w:t xml:space="preserve">302-19-O </w:t>
            </w:r>
            <w:r w:rsidRPr="00E13123">
              <w:rPr>
                <w:b/>
                <w:noProof/>
              </w:rPr>
              <w:t xml:space="preserve">- </w:t>
            </w:r>
            <w:r w:rsidRPr="00FE43B9">
              <w:rPr>
                <w:b/>
                <w:lang w:val="sr-Cyrl-CS"/>
              </w:rPr>
              <w:t>Набавка</w:t>
            </w:r>
            <w:r w:rsidRPr="00FE43B9">
              <w:rPr>
                <w:b/>
              </w:rPr>
              <w:t xml:space="preserve"> </w:t>
            </w:r>
            <w:r w:rsidRPr="00FE43B9">
              <w:rPr>
                <w:b/>
                <w:lang w:val="sr-Cyrl-RS"/>
              </w:rPr>
              <w:t xml:space="preserve">трака за хируршки третман уринарне инконтиненције </w:t>
            </w:r>
            <w:r w:rsidRPr="00FE43B9">
              <w:rPr>
                <w:b/>
              </w:rPr>
              <w:t>за потребе Клиничког центра Војводине</w:t>
            </w:r>
            <w:r w:rsidR="008D1AE6">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D1AE6" w:rsidRDefault="00B84C11" w:rsidP="00FE43B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E43B9">
              <w:rPr>
                <w:b/>
                <w:noProof/>
              </w:rPr>
              <w:t xml:space="preserve">302-19-O </w:t>
            </w:r>
            <w:r w:rsidR="00FE43B9" w:rsidRPr="00E13123">
              <w:rPr>
                <w:b/>
                <w:noProof/>
              </w:rPr>
              <w:t xml:space="preserve">-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FE43B9"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FE43B9" w:rsidRPr="001B5BB4" w:rsidRDefault="00FE43B9" w:rsidP="00FE43B9">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tabs>
                <w:tab w:val="left" w:pos="1828"/>
              </w:tabs>
              <w:jc w:val="both"/>
            </w:pPr>
            <w:r w:rsidRPr="00301616">
              <w:rPr>
                <w:lang w:val="sr-Cyrl-CS"/>
              </w:rPr>
              <w:t xml:space="preserve">TOT </w:t>
            </w:r>
            <w:r>
              <w:rPr>
                <w:lang w:val="sr-Cyrl-CS"/>
              </w:rPr>
              <w:t>субуретрални</w:t>
            </w:r>
            <w:r w:rsidRPr="00301616">
              <w:rPr>
                <w:lang w:val="sr-Cyrl-CS"/>
              </w:rPr>
              <w:t xml:space="preserve"> </w:t>
            </w:r>
            <w:r>
              <w:rPr>
                <w:lang w:val="sr-Cyrl-CS"/>
              </w:rPr>
              <w:t>слинг</w:t>
            </w:r>
            <w:r w:rsidRPr="00301616">
              <w:rPr>
                <w:lang w:val="sr-Cyrl-CS"/>
              </w:rPr>
              <w:t xml:space="preserve"> </w:t>
            </w:r>
            <w:r>
              <w:rPr>
                <w:lang w:val="sr-Cyrl-CS"/>
              </w:rPr>
              <w:t>зa OUTSIDE-IN или</w:t>
            </w:r>
            <w:r w:rsidRPr="00301616">
              <w:rPr>
                <w:lang w:val="sr-Cyrl-CS"/>
              </w:rPr>
              <w:t xml:space="preserve"> INSIDE-OUT </w:t>
            </w:r>
            <w:r>
              <w:rPr>
                <w:lang w:val="sr-Cyrl-CS"/>
              </w:rPr>
              <w:t>технику</w:t>
            </w:r>
          </w:p>
        </w:tc>
      </w:tr>
      <w:tr w:rsidR="00FE43B9"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FE43B9" w:rsidRPr="001B5BB4" w:rsidRDefault="00FE43B9" w:rsidP="00FE43B9">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jc w:val="both"/>
            </w:pPr>
            <w:r>
              <w:rPr>
                <w:lang w:val="sr-Cyrl-CS"/>
              </w:rPr>
              <w:t>Траке</w:t>
            </w:r>
            <w:r w:rsidRPr="00301616">
              <w:rPr>
                <w:lang w:val="sr-Cyrl-CS"/>
              </w:rPr>
              <w:t xml:space="preserve"> TOT( OUTSIDE-IN )</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Pr="008D1AE6" w:rsidRDefault="008D1AE6"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E43B9" w:rsidRDefault="00F51D2F" w:rsidP="00F51D2F">
            <w:pPr>
              <w:pStyle w:val="Footer"/>
              <w:tabs>
                <w:tab w:val="clear" w:pos="4320"/>
                <w:tab w:val="clear" w:pos="8640"/>
                <w:tab w:val="left" w:pos="3560"/>
              </w:tabs>
              <w:jc w:val="both"/>
              <w:rPr>
                <w:b/>
                <w:lang w:val="sr-Cyrl-RS"/>
              </w:rPr>
            </w:pPr>
            <w:r>
              <w:t xml:space="preserve">             </w:t>
            </w:r>
            <w:r w:rsidRPr="00540E37">
              <w:t xml:space="preserve">Предмет ове јавне набавке </w:t>
            </w:r>
            <w:r>
              <w:t>је</w:t>
            </w:r>
            <w:r>
              <w:rPr>
                <w:b/>
              </w:rPr>
              <w:t xml:space="preserve">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sidR="00FE43B9">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471D02">
            <w:pPr>
              <w:rPr>
                <w:iCs/>
              </w:rPr>
            </w:pPr>
            <w:r w:rsidRPr="00BF4AF8">
              <w:rPr>
                <w:iCs/>
              </w:rPr>
              <w:t>Решење Министарства здравља о дозво</w:t>
            </w:r>
            <w:r>
              <w:rPr>
                <w:iCs/>
              </w:rPr>
              <w:t>ли за бав</w:t>
            </w:r>
            <w:r w:rsidR="00471D02">
              <w:rPr>
                <w:iCs/>
              </w:rPr>
              <w:t>љење прометом и/или производњом</w:t>
            </w:r>
            <w:r w:rsidR="00471D02">
              <w:rPr>
                <w:iCs/>
                <w:lang w:val="sr-Cyrl-RS"/>
              </w:rPr>
              <w:t xml:space="preserve"> </w:t>
            </w:r>
            <w:r w:rsidRPr="00BF4AF8">
              <w:rPr>
                <w:iCs/>
              </w:rPr>
              <w:t>медицинск</w:t>
            </w:r>
            <w:r w:rsidR="00471D02">
              <w:rPr>
                <w:iCs/>
              </w:rPr>
              <w:t>их</w:t>
            </w:r>
            <w:r w:rsidR="00471D02">
              <w:rPr>
                <w:iCs/>
                <w:lang w:val="sr-Cyrl-RS"/>
              </w:rPr>
              <w:t xml:space="preserve"> </w:t>
            </w:r>
            <w:r>
              <w:rPr>
                <w:iCs/>
              </w:rPr>
              <w:t xml:space="preserve">средстава </w:t>
            </w:r>
            <w:r w:rsidR="00471D02">
              <w:rPr>
                <w:iCs/>
                <w:lang w:val="sr-Cyrl-RS"/>
              </w:rPr>
              <w:t xml:space="preserve">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8D1AE6"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8D1AE6">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D1AE6">
              <w:rPr>
                <w:rFonts w:eastAsia="TimesNewRomanPSMT"/>
                <w:b/>
                <w:bCs/>
              </w:rPr>
              <w:t>30</w:t>
            </w:r>
            <w:r w:rsidR="00FE43B9">
              <w:rPr>
                <w:rFonts w:eastAsia="TimesNewRomanPSMT"/>
                <w:b/>
                <w:bCs/>
                <w:lang w:val="sr-Cyrl-RS"/>
              </w:rPr>
              <w:t>2</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Pr="008D1AE6" w:rsidRDefault="008D1AE6"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 xml:space="preserve">изабран као најповољнији за </w:t>
      </w:r>
      <w:r w:rsidR="00FE43B9">
        <w:rPr>
          <w:b/>
          <w:lang w:val="sr-Cyrl-RS"/>
        </w:rPr>
        <w:t>обе</w:t>
      </w:r>
      <w:r w:rsidR="00FE43B9">
        <w:rPr>
          <w:b/>
        </w:rPr>
        <w:t xml:space="preserve"> партије</w:t>
      </w:r>
      <w:r w:rsidRPr="00167B3F">
        <w:rPr>
          <w:b/>
        </w:rPr>
        <w:t xml:space="preserve">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w:t>
      </w:r>
      <w:r w:rsidR="00961F30">
        <w:rPr>
          <w:b/>
          <w:u w:val="single"/>
          <w:lang w:val="sr-Cyrl-CS"/>
        </w:rPr>
        <w:t>обе партије</w:t>
      </w:r>
      <w:r w:rsidRPr="00BE0E14">
        <w:rPr>
          <w:b/>
          <w:u w:val="single"/>
          <w:lang w:val="sr-Cyrl-CS"/>
        </w:rPr>
        <w:t xml:space="preserve">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w:t>
      </w:r>
      <w:r w:rsidR="00497608">
        <w:rPr>
          <w:b/>
          <w:i/>
          <w:noProof/>
        </w:rPr>
        <w:t>буде изабран као најповољнији за</w:t>
      </w:r>
      <w:r w:rsidR="00497608" w:rsidRPr="00D643FE">
        <w:rPr>
          <w:b/>
          <w:i/>
          <w:noProof/>
        </w:rPr>
        <w:t xml:space="preserve"> </w:t>
      </w:r>
      <w:r w:rsidR="00FE43B9">
        <w:rPr>
          <w:b/>
          <w:i/>
          <w:noProof/>
          <w:lang w:val="sr-Cyrl-RS"/>
        </w:rPr>
        <w:t>обе</w:t>
      </w:r>
      <w:r w:rsidR="00497608" w:rsidRPr="00D643FE">
        <w:rPr>
          <w:b/>
          <w:i/>
          <w:noProof/>
        </w:rPr>
        <w:t xml:space="preserve"> партиј</w:t>
      </w:r>
      <w:r w:rsidR="00FE43B9">
        <w:rPr>
          <w:b/>
          <w:i/>
          <w:noProof/>
          <w:lang w:val="sr-Cyrl-RS"/>
        </w:rPr>
        <w:t>е</w:t>
      </w:r>
      <w:r w:rsidR="00497608" w:rsidRPr="00D643FE">
        <w:rPr>
          <w:b/>
          <w:i/>
          <w:noProof/>
        </w:rPr>
        <w:t xml:space="preserve"> доставља једно средство обезбеђења</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w:t>
      </w:r>
      <w:r w:rsidR="00FE43B9">
        <w:rPr>
          <w:u w:val="single"/>
          <w:lang w:val="sr-Cyrl-RS"/>
        </w:rPr>
        <w:t>о</w:t>
      </w:r>
      <w:r w:rsidRPr="00D36688">
        <w:rPr>
          <w:u w:val="single"/>
        </w:rPr>
        <w:t xml:space="preserve"> овлашћењ</w:t>
      </w:r>
      <w:r w:rsidR="00FE43B9">
        <w:rPr>
          <w:u w:val="single"/>
          <w:lang w:val="sr-Cyrl-RS"/>
        </w:rPr>
        <w:t>о</w:t>
      </w:r>
      <w:r w:rsidRPr="00D36688">
        <w:rPr>
          <w:u w:val="single"/>
        </w:rPr>
        <w:t xml:space="preserve"> кој</w:t>
      </w:r>
      <w:r w:rsidR="00FE43B9">
        <w:rPr>
          <w:u w:val="single"/>
          <w:lang w:val="sr-Cyrl-RS"/>
        </w:rPr>
        <w:t>е</w:t>
      </w:r>
      <w:r w:rsidRPr="00D36688">
        <w:rPr>
          <w:u w:val="single"/>
        </w:rPr>
        <w:t xml:space="preserve"> </w:t>
      </w:r>
      <w:r w:rsidR="00FE43B9">
        <w:rPr>
          <w:u w:val="single"/>
          <w:lang w:val="sr-Cyrl-RS"/>
        </w:rPr>
        <w:t>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D1AE6">
        <w:rPr>
          <w:b/>
          <w:noProof/>
        </w:rPr>
        <w:t>30</w:t>
      </w:r>
      <w:r w:rsidR="00FE43B9">
        <w:rPr>
          <w:b/>
          <w:noProof/>
          <w:lang w:val="sr-Cyrl-RS"/>
        </w:rPr>
        <w:t>2</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FE43B9">
        <w:rPr>
          <w:lang w:val="sr-Cyrl-RS"/>
        </w:rPr>
        <w:t xml:space="preserve"> </w:t>
      </w:r>
      <w:r w:rsidR="00FE43B9" w:rsidRPr="00FE43B9">
        <w:rPr>
          <w:b/>
          <w:lang w:val="sr-Cyrl-RS"/>
        </w:rPr>
        <w:t>302</w:t>
      </w:r>
      <w:r w:rsidR="00861224" w:rsidRPr="00FE43B9">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236"/>
        <w:gridCol w:w="5550"/>
        <w:gridCol w:w="2304"/>
      </w:tblGrid>
      <w:tr w:rsidR="00541811"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FE43B9"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FE43B9" w:rsidRPr="00861224" w:rsidRDefault="00FE43B9" w:rsidP="00FE43B9">
            <w:pPr>
              <w:jc w:val="center"/>
              <w:rPr>
                <w:noProof/>
                <w:lang w:val="sr-Cyrl-CS"/>
              </w:rPr>
            </w:pPr>
            <w:r>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tabs>
                <w:tab w:val="left" w:pos="1828"/>
              </w:tabs>
              <w:jc w:val="both"/>
            </w:pPr>
            <w:r w:rsidRPr="00301616">
              <w:rPr>
                <w:lang w:val="sr-Cyrl-CS"/>
              </w:rPr>
              <w:t xml:space="preserve">TOT </w:t>
            </w:r>
            <w:r>
              <w:rPr>
                <w:lang w:val="sr-Cyrl-CS"/>
              </w:rPr>
              <w:t>субуретрални</w:t>
            </w:r>
            <w:r w:rsidRPr="00301616">
              <w:rPr>
                <w:lang w:val="sr-Cyrl-CS"/>
              </w:rPr>
              <w:t xml:space="preserve"> </w:t>
            </w:r>
            <w:r>
              <w:rPr>
                <w:lang w:val="sr-Cyrl-CS"/>
              </w:rPr>
              <w:t>слинг</w:t>
            </w:r>
            <w:r w:rsidRPr="00301616">
              <w:rPr>
                <w:lang w:val="sr-Cyrl-CS"/>
              </w:rPr>
              <w:t xml:space="preserve"> </w:t>
            </w:r>
            <w:r>
              <w:rPr>
                <w:lang w:val="sr-Cyrl-CS"/>
              </w:rPr>
              <w:t>зa OUTSIDE-IN или</w:t>
            </w:r>
            <w:r w:rsidRPr="00301616">
              <w:rPr>
                <w:lang w:val="sr-Cyrl-CS"/>
              </w:rPr>
              <w:t xml:space="preserve"> INSIDE-OUT </w:t>
            </w:r>
            <w:r>
              <w:rPr>
                <w:lang w:val="sr-Cyrl-CS"/>
              </w:rPr>
              <w:t>технику</w:t>
            </w:r>
          </w:p>
        </w:tc>
        <w:tc>
          <w:tcPr>
            <w:tcW w:w="2304" w:type="dxa"/>
            <w:tcBorders>
              <w:top w:val="single" w:sz="4" w:space="0" w:color="auto"/>
              <w:left w:val="single" w:sz="4" w:space="0" w:color="auto"/>
              <w:bottom w:val="single" w:sz="4" w:space="0" w:color="auto"/>
              <w:right w:val="single" w:sz="4" w:space="0" w:color="auto"/>
            </w:tcBorders>
            <w:vAlign w:val="center"/>
          </w:tcPr>
          <w:p w:rsidR="00FE43B9" w:rsidRPr="00D643FE" w:rsidRDefault="00FE43B9" w:rsidP="00FE43B9">
            <w:pPr>
              <w:jc w:val="center"/>
              <w:rPr>
                <w:noProof/>
              </w:rPr>
            </w:pPr>
          </w:p>
        </w:tc>
      </w:tr>
      <w:tr w:rsidR="00FE43B9"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FE43B9" w:rsidRPr="00861224" w:rsidRDefault="00FE43B9" w:rsidP="00FE43B9">
            <w:pPr>
              <w:jc w:val="center"/>
              <w:rPr>
                <w:noProof/>
                <w:lang w:val="sr-Cyrl-CS"/>
              </w:rPr>
            </w:pPr>
            <w:r>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jc w:val="both"/>
            </w:pPr>
            <w:r>
              <w:rPr>
                <w:lang w:val="sr-Cyrl-CS"/>
              </w:rPr>
              <w:t>Траке</w:t>
            </w:r>
            <w:r w:rsidRPr="00301616">
              <w:rPr>
                <w:lang w:val="sr-Cyrl-CS"/>
              </w:rPr>
              <w:t xml:space="preserve"> TOT( OUTSIDE-IN )</w:t>
            </w:r>
          </w:p>
        </w:tc>
        <w:tc>
          <w:tcPr>
            <w:tcW w:w="2304" w:type="dxa"/>
            <w:tcBorders>
              <w:top w:val="single" w:sz="4" w:space="0" w:color="auto"/>
              <w:left w:val="single" w:sz="4" w:space="0" w:color="auto"/>
              <w:bottom w:val="single" w:sz="4" w:space="0" w:color="auto"/>
              <w:right w:val="single" w:sz="4" w:space="0" w:color="auto"/>
            </w:tcBorders>
            <w:vAlign w:val="center"/>
          </w:tcPr>
          <w:p w:rsidR="00FE43B9" w:rsidRPr="00D643FE" w:rsidRDefault="00FE43B9" w:rsidP="00FE43B9">
            <w:pPr>
              <w:jc w:val="center"/>
              <w:rPr>
                <w:noProof/>
              </w:rPr>
            </w:pPr>
          </w:p>
        </w:tc>
      </w:tr>
      <w:tr w:rsidR="00541811" w:rsidRPr="00D643FE" w:rsidTr="0067045E">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8D1AE6" w:rsidRDefault="00852DB9" w:rsidP="008D1AE6">
      <w:pPr>
        <w:tabs>
          <w:tab w:val="left" w:pos="3396"/>
        </w:tabs>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Default="00C47165" w:rsidP="008D1AE6">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FE43B9" w:rsidRPr="008D1AE6" w:rsidRDefault="00FE43B9" w:rsidP="008D1AE6">
      <w:pPr>
        <w:ind w:firstLine="708"/>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52DB9" w:rsidRPr="00FE43B9" w:rsidRDefault="00C47165" w:rsidP="00FE43B9">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Default="00D36688" w:rsidP="00A062D6">
      <w:pPr>
        <w:rPr>
          <w:b/>
          <w:szCs w:val="22"/>
        </w:rPr>
      </w:pPr>
    </w:p>
    <w:p w:rsidR="00FE43B9" w:rsidRDefault="00FE43B9" w:rsidP="00A062D6">
      <w:pPr>
        <w:rPr>
          <w:b/>
          <w:szCs w:val="22"/>
        </w:rPr>
      </w:pPr>
    </w:p>
    <w:p w:rsidR="00FE43B9" w:rsidRDefault="00FE43B9" w:rsidP="00A062D6">
      <w:pPr>
        <w:rPr>
          <w:b/>
          <w:szCs w:val="22"/>
        </w:rPr>
      </w:pPr>
    </w:p>
    <w:p w:rsidR="00FE43B9" w:rsidRDefault="00FE43B9" w:rsidP="00A062D6">
      <w:pPr>
        <w:rPr>
          <w:b/>
          <w:szCs w:val="22"/>
        </w:rPr>
      </w:pPr>
    </w:p>
    <w:p w:rsidR="00FE43B9" w:rsidRDefault="00FE43B9" w:rsidP="00A062D6">
      <w:pPr>
        <w:rPr>
          <w:b/>
          <w:szCs w:val="22"/>
        </w:rPr>
      </w:pPr>
    </w:p>
    <w:p w:rsidR="00FE43B9" w:rsidRPr="00A062D6" w:rsidRDefault="00FE43B9"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8D1AE6"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bookmarkStart w:id="162" w:name="_Toc364158549"/>
      <w:r w:rsidR="00FE43B9">
        <w:rPr>
          <w:rFonts w:eastAsia="Arial Unicode MS"/>
          <w:bCs/>
          <w:iCs/>
          <w:noProof/>
          <w:kern w:val="2"/>
          <w:sz w:val="20"/>
          <w:szCs w:val="20"/>
          <w:u w:val="single"/>
          <w:lang w:eastAsia="ar-SA"/>
        </w:rPr>
        <w:t>авити доказ негативне референце.</w:t>
      </w:r>
    </w:p>
    <w:p w:rsidR="00AB7D25" w:rsidRDefault="00AB7D25" w:rsidP="00C47165">
      <w:pPr>
        <w:rPr>
          <w:lang w:val="sr-Cyrl-CS"/>
        </w:rPr>
      </w:pPr>
    </w:p>
    <w:p w:rsidR="00A33BD3" w:rsidRDefault="00A33BD3" w:rsidP="00C47165">
      <w:pPr>
        <w:rPr>
          <w:lang w:val="sr-Cyrl-CS"/>
        </w:rPr>
      </w:pPr>
    </w:p>
    <w:p w:rsidR="00A062D6" w:rsidRDefault="00A062D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Pr="008D1AE6" w:rsidRDefault="008D1AE6" w:rsidP="00C47165"/>
    <w:p w:rsidR="002D5B2C" w:rsidRPr="00F87167" w:rsidRDefault="002D5B2C" w:rsidP="00CA0FE1">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D1AE6">
        <w:rPr>
          <w:b/>
          <w:noProof/>
        </w:rPr>
        <w:t>30</w:t>
      </w:r>
      <w:r w:rsidR="00FE43B9">
        <w:rPr>
          <w:b/>
          <w:noProof/>
          <w:lang w:val="sr-Cyrl-RS"/>
        </w:rPr>
        <w:t>2</w:t>
      </w:r>
      <w:r w:rsidRPr="00B15CD8">
        <w:rPr>
          <w:b/>
          <w:noProof/>
        </w:rPr>
        <w:t xml:space="preserve">-19-O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717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FE43B9">
        <w:rPr>
          <w:b/>
          <w:noProof/>
        </w:rPr>
        <w:t>30</w:t>
      </w:r>
      <w:r w:rsidR="00FE43B9">
        <w:rPr>
          <w:b/>
          <w:noProof/>
          <w:lang w:val="sr-Cyrl-RS"/>
        </w:rPr>
        <w:t>2</w:t>
      </w:r>
      <w:r w:rsidR="00FE43B9" w:rsidRPr="00B15CD8">
        <w:rPr>
          <w:b/>
          <w:noProof/>
        </w:rPr>
        <w:t xml:space="preserve">-19-O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717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7F6D49" w:rsidRPr="00B15CD8">
        <w:rPr>
          <w:b/>
          <w:noProof/>
        </w:rPr>
        <w:t xml:space="preserve">- </w:t>
      </w:r>
      <w:r w:rsidR="007F6D49">
        <w:rPr>
          <w:b/>
          <w:lang w:val="sr-Cyrl-RS"/>
        </w:rPr>
        <w:t>Н</w:t>
      </w:r>
      <w:r w:rsidR="007F6D49" w:rsidRPr="00FE43B9">
        <w:rPr>
          <w:b/>
          <w:lang w:val="sr-Cyrl-CS"/>
        </w:rPr>
        <w:t>абавка</w:t>
      </w:r>
      <w:r w:rsidR="007F6D49" w:rsidRPr="00FE43B9">
        <w:rPr>
          <w:b/>
        </w:rPr>
        <w:t xml:space="preserve"> </w:t>
      </w:r>
      <w:r w:rsidR="007F6D49" w:rsidRPr="00FE43B9">
        <w:rPr>
          <w:b/>
          <w:lang w:val="sr-Cyrl-RS"/>
        </w:rPr>
        <w:t xml:space="preserve">трака за хируршки третман уринарне инконтиненције </w:t>
      </w:r>
      <w:r w:rsidR="007F6D49" w:rsidRPr="00FE43B9">
        <w:rPr>
          <w:b/>
        </w:rPr>
        <w:t>за потребе Клиничког центра Војводине</w:t>
      </w:r>
      <w:r w:rsidR="007F6D49"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ED2F66">
        <w:rPr>
          <w:b/>
          <w:noProof/>
        </w:rPr>
        <w:t>30</w:t>
      </w:r>
      <w:r w:rsidR="007F6D49">
        <w:rPr>
          <w:b/>
          <w:noProof/>
          <w:lang w:val="sr-Cyrl-RS"/>
        </w:rPr>
        <w:t>2</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7F6D49" w:rsidRPr="007F6D49">
              <w:rPr>
                <w:b/>
                <w:lang w:val="sr-Cyrl-CS"/>
              </w:rPr>
              <w:t>TOT субуретрални слинг зa OUTSIDE-IN или INSIDE-OUT технику</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7F6D49" w:rsidRPr="00DB024A" w:rsidTr="006E262A">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7F6D49" w:rsidRDefault="007F6D49" w:rsidP="007F6D49">
            <w:pPr>
              <w:rPr>
                <w:color w:val="222222"/>
                <w:sz w:val="20"/>
                <w:szCs w:val="20"/>
                <w:lang w:val="en-US"/>
              </w:rPr>
            </w:pPr>
            <w:r>
              <w:rPr>
                <w:color w:val="222222"/>
                <w:sz w:val="20"/>
                <w:szCs w:val="20"/>
              </w:rPr>
              <w:t>Polipropilenski monofilamentni makroporozni TOT suburetralni sling za OUTSIDE-IN ili INSIDE-OUT tehniku, ukupne dužine 460-480 mm, širine 13 mm, dijametra pora 500-1000 µm, glatkih termokauterizovanih ivica, u pakovanju sa dva semicirkularna instrumenta od nerđajućeg čelika za jednokratnu upotrebu, dijametra 3 mm</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7F6D49" w:rsidP="007F6D49">
            <w:pPr>
              <w:jc w:val="center"/>
              <w:rPr>
                <w:sz w:val="20"/>
                <w:szCs w:val="20"/>
              </w:rPr>
            </w:pPr>
            <w:r>
              <w:rPr>
                <w:sz w:val="20"/>
                <w:szCs w:val="20"/>
              </w:rPr>
              <w:t>20</w:t>
            </w:r>
          </w:p>
        </w:tc>
        <w:tc>
          <w:tcPr>
            <w:tcW w:w="1559"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43"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441610" w:rsidRDefault="00441610" w:rsidP="002279C3">
      <w:pPr>
        <w:pStyle w:val="BodyText"/>
        <w:rPr>
          <w:b/>
          <w:noProof/>
          <w:szCs w:val="24"/>
        </w:rPr>
      </w:pPr>
    </w:p>
    <w:p w:rsidR="005C29F5" w:rsidRPr="00ED2F66" w:rsidRDefault="005C29F5"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5C29F5" w:rsidRPr="005C29F5" w:rsidRDefault="005C29F5" w:rsidP="00354E0B">
      <w:pPr>
        <w:pStyle w:val="BodyText"/>
        <w:rPr>
          <w:noProof/>
          <w:sz w:val="20"/>
        </w:rPr>
      </w:pPr>
    </w:p>
    <w:p w:rsidR="008F7170" w:rsidRPr="008F7170" w:rsidRDefault="0067045E" w:rsidP="008F7170">
      <w:pPr>
        <w:pStyle w:val="Footer"/>
        <w:tabs>
          <w:tab w:val="left" w:pos="2410"/>
          <w:tab w:val="left" w:pos="2977"/>
          <w:tab w:val="left" w:pos="13750"/>
        </w:tabs>
        <w:jc w:val="center"/>
        <w:rPr>
          <w:b/>
          <w:color w:val="FF0000"/>
        </w:rPr>
      </w:pPr>
      <w:r w:rsidRPr="00863DB0">
        <w:rPr>
          <w:b/>
          <w:noProof/>
        </w:rPr>
        <w:t xml:space="preserve">Понуда број __________ - </w:t>
      </w:r>
      <w:r w:rsidR="008F7170" w:rsidRPr="008F7170">
        <w:rPr>
          <w:b/>
          <w:color w:val="FF0000"/>
          <w:lang w:val="sr-Cyrl-RS"/>
        </w:rPr>
        <w:t>Н</w:t>
      </w:r>
      <w:r w:rsidR="008F7170" w:rsidRPr="008F7170">
        <w:rPr>
          <w:b/>
          <w:color w:val="FF0000"/>
          <w:lang w:val="sr-Cyrl-CS"/>
        </w:rPr>
        <w:t>абавка</w:t>
      </w:r>
      <w:r w:rsidR="008F7170" w:rsidRPr="008F7170">
        <w:rPr>
          <w:b/>
          <w:color w:val="FF0000"/>
        </w:rPr>
        <w:t xml:space="preserve"> </w:t>
      </w:r>
      <w:r w:rsidR="008F7170" w:rsidRPr="008F7170">
        <w:rPr>
          <w:b/>
          <w:color w:val="FF0000"/>
          <w:lang w:val="sr-Cyrl-RS"/>
        </w:rPr>
        <w:t xml:space="preserve">трака за хируршки третман уринарне инконтиненције </w:t>
      </w:r>
      <w:r w:rsidR="008F7170" w:rsidRPr="008F7170">
        <w:rPr>
          <w:b/>
          <w:color w:val="FF0000"/>
        </w:rPr>
        <w:t>за потребе Клиничког центра Војводине</w:t>
      </w:r>
      <w:r w:rsidR="008F7170" w:rsidRPr="008F7170">
        <w:rPr>
          <w:b/>
          <w:noProof/>
          <w:color w:val="FF0000"/>
        </w:rPr>
        <w:t xml:space="preserve"> - ЈН бр. 30</w:t>
      </w:r>
      <w:r w:rsidR="008F7170" w:rsidRPr="008F7170">
        <w:rPr>
          <w:b/>
          <w:noProof/>
          <w:color w:val="FF0000"/>
          <w:lang w:val="sr-Cyrl-RS"/>
        </w:rPr>
        <w:t>2</w:t>
      </w:r>
      <w:r w:rsidR="008F7170" w:rsidRPr="008F7170">
        <w:rPr>
          <w:b/>
          <w:noProof/>
          <w:color w:val="FF0000"/>
        </w:rPr>
        <w:t>-19-О</w:t>
      </w:r>
    </w:p>
    <w:p w:rsidR="0067045E" w:rsidRPr="00863DB0" w:rsidRDefault="0067045E" w:rsidP="0067045E">
      <w:pPr>
        <w:pStyle w:val="Footer"/>
        <w:tabs>
          <w:tab w:val="left" w:pos="2410"/>
          <w:tab w:val="left" w:pos="2977"/>
          <w:tab w:val="left" w:pos="13750"/>
        </w:tabs>
        <w:jc w:val="center"/>
        <w:rPr>
          <w:b/>
        </w:rPr>
      </w:pP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w:t>
      </w:r>
      <w:bookmarkStart w:id="173" w:name="_GoBack"/>
      <w:bookmarkEnd w:id="173"/>
      <w:r w:rsidRPr="00636A58">
        <w:rPr>
          <w:noProof/>
          <w:szCs w:val="24"/>
        </w:rPr>
        <w:t>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7F6D49" w:rsidRPr="007F6D49">
              <w:rPr>
                <w:b/>
                <w:lang w:val="sr-Cyrl-CS"/>
              </w:rPr>
              <w:t>Траке TOT( OUTSIDE-IN )</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7F6D49" w:rsidRPr="00DB024A" w:rsidTr="00ED2F66">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7F6D49" w:rsidRDefault="007F6D49" w:rsidP="007F6D49">
            <w:pPr>
              <w:ind w:firstLineChars="100" w:firstLine="200"/>
              <w:jc w:val="center"/>
              <w:rPr>
                <w:sz w:val="20"/>
                <w:szCs w:val="20"/>
                <w:lang w:val="en-US"/>
              </w:rPr>
            </w:pPr>
            <w:r>
              <w:rPr>
                <w:sz w:val="20"/>
                <w:szCs w:val="20"/>
              </w:rPr>
              <w:t>Trake TOT( OUTSIDE-IN )  100 % monofilamentna-polipropilenska trans-opturatorna traka. Pletena, 0,3mm gustine, makroporozna , dimenzija 1.1x60 cm , promera pore 80µm,velicine pore 550x170µm, 78g/m² težine ,  glatkih ivica, elasticiteta 7.5% , sa helico instrumentima</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7F6D49" w:rsidP="007F6D49">
            <w:pPr>
              <w:jc w:val="center"/>
              <w:rPr>
                <w:sz w:val="20"/>
                <w:szCs w:val="20"/>
              </w:rPr>
            </w:pPr>
            <w:r>
              <w:rPr>
                <w:sz w:val="20"/>
                <w:szCs w:val="20"/>
              </w:rPr>
              <w:t>15</w:t>
            </w:r>
          </w:p>
        </w:tc>
        <w:tc>
          <w:tcPr>
            <w:tcW w:w="1505"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9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Default="00863DB0"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Pr="00ED2F66" w:rsidRDefault="00ED2F66" w:rsidP="00863DB0">
      <w:pPr>
        <w:pStyle w:val="BodyText"/>
        <w:rPr>
          <w:b/>
          <w:noProof/>
          <w:szCs w:val="24"/>
        </w:rPr>
      </w:pPr>
    </w:p>
    <w:p w:rsidR="00ED2F66" w:rsidRDefault="00ED2F66" w:rsidP="00ED2F6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D2F66" w:rsidRDefault="00ED2F66" w:rsidP="00ED2F66">
      <w:pPr>
        <w:pStyle w:val="BodyText"/>
        <w:rPr>
          <w:b/>
          <w:noProof/>
          <w:sz w:val="22"/>
          <w:szCs w:val="22"/>
        </w:rPr>
      </w:pPr>
    </w:p>
    <w:p w:rsidR="00ED2F66" w:rsidRPr="00FE1643" w:rsidRDefault="00ED2F66" w:rsidP="00ED2F66">
      <w:pPr>
        <w:pStyle w:val="BodyText"/>
        <w:rPr>
          <w:b/>
          <w:noProof/>
          <w:szCs w:val="24"/>
        </w:rPr>
      </w:pPr>
    </w:p>
    <w:p w:rsidR="00ED2F66" w:rsidRPr="001D780E" w:rsidRDefault="00ED2F66" w:rsidP="00ED2F6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ED2F66" w:rsidRPr="00C50D87"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D2F66" w:rsidRPr="0079325F" w:rsidRDefault="00ED2F66" w:rsidP="00ED2F66">
      <w:pPr>
        <w:pStyle w:val="BodyText"/>
        <w:rPr>
          <w:noProof/>
          <w:szCs w:val="24"/>
        </w:rPr>
      </w:pPr>
    </w:p>
    <w:p w:rsidR="00ED2F66" w:rsidRPr="0079325F" w:rsidRDefault="00ED2F66" w:rsidP="00ED2F66">
      <w:pPr>
        <w:pStyle w:val="BodyText"/>
        <w:numPr>
          <w:ilvl w:val="0"/>
          <w:numId w:val="44"/>
        </w:numPr>
        <w:rPr>
          <w:noProof/>
          <w:szCs w:val="24"/>
        </w:rPr>
      </w:pPr>
      <w:r w:rsidRPr="0079325F">
        <w:rPr>
          <w:noProof/>
          <w:szCs w:val="24"/>
        </w:rPr>
        <w:t>Самостално</w:t>
      </w:r>
      <w:r>
        <w:rPr>
          <w:noProof/>
          <w:szCs w:val="24"/>
        </w:rPr>
        <w:t xml:space="preserve">  </w:t>
      </w:r>
    </w:p>
    <w:p w:rsidR="00ED2F66" w:rsidRPr="0079325F" w:rsidRDefault="00ED2F66" w:rsidP="00ED2F66">
      <w:pPr>
        <w:pStyle w:val="BodyText"/>
        <w:numPr>
          <w:ilvl w:val="0"/>
          <w:numId w:val="44"/>
        </w:numPr>
        <w:rPr>
          <w:noProof/>
          <w:szCs w:val="24"/>
        </w:rPr>
      </w:pPr>
      <w:r w:rsidRPr="0079325F">
        <w:rPr>
          <w:noProof/>
          <w:szCs w:val="24"/>
        </w:rPr>
        <w:t>Заједничка понуда (навести ко су учесници у заједничкој понуди):___________________________________</w:t>
      </w:r>
    </w:p>
    <w:p w:rsidR="00ED2F66" w:rsidRPr="000241FA" w:rsidRDefault="00ED2F66" w:rsidP="00ED2F66">
      <w:pPr>
        <w:pStyle w:val="BodyText"/>
        <w:numPr>
          <w:ilvl w:val="0"/>
          <w:numId w:val="44"/>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ED2F66" w:rsidRDefault="00ED2F66" w:rsidP="00ED2F66">
      <w:pPr>
        <w:pStyle w:val="BodyText"/>
        <w:rPr>
          <w:noProof/>
          <w:szCs w:val="24"/>
          <w:lang w:val="sr-Cyrl-CS"/>
        </w:rPr>
      </w:pPr>
    </w:p>
    <w:p w:rsidR="00ED2F66" w:rsidRPr="0079325F" w:rsidRDefault="00ED2F66" w:rsidP="00ED2F66">
      <w:pPr>
        <w:pStyle w:val="BodyText"/>
        <w:rPr>
          <w:noProof/>
          <w:szCs w:val="24"/>
          <w:lang w:val="sr-Cyrl-CS"/>
        </w:rPr>
      </w:pPr>
    </w:p>
    <w:p w:rsidR="00ED2F66" w:rsidRPr="0079325F" w:rsidRDefault="00ED2F66" w:rsidP="00ED2F6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Друго: __________________________________</w:t>
      </w:r>
    </w:p>
    <w:p w:rsidR="00ED2F66" w:rsidRDefault="00ED2F66" w:rsidP="00ED2F66">
      <w:pPr>
        <w:pStyle w:val="BodyText"/>
        <w:rPr>
          <w:noProof/>
          <w:sz w:val="22"/>
          <w:szCs w:val="22"/>
        </w:rPr>
      </w:pP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863DB0" w:rsidRPr="001428D2" w:rsidRDefault="00863DB0" w:rsidP="00354E0B">
      <w:pPr>
        <w:pStyle w:val="BodyText"/>
        <w:rPr>
          <w:noProof/>
          <w:sz w:val="20"/>
        </w:rPr>
      </w:pPr>
    </w:p>
    <w:p w:rsidR="00453DB8" w:rsidRDefault="00453DB8" w:rsidP="00BA37F9">
      <w:pPr>
        <w:pStyle w:val="BodyText"/>
        <w:rPr>
          <w:noProof/>
          <w:szCs w:val="24"/>
        </w:rPr>
      </w:pPr>
    </w:p>
    <w:p w:rsidR="00ED2F66" w:rsidRDefault="00ED2F66" w:rsidP="00BA37F9">
      <w:pPr>
        <w:pStyle w:val="BodyText"/>
        <w:rPr>
          <w:noProof/>
          <w:szCs w:val="24"/>
        </w:rPr>
      </w:pPr>
    </w:p>
    <w:p w:rsidR="00ED2F66" w:rsidRDefault="00ED2F66" w:rsidP="00BA37F9">
      <w:pPr>
        <w:pStyle w:val="BodyText"/>
        <w:rPr>
          <w:noProof/>
          <w:szCs w:val="24"/>
        </w:rPr>
      </w:pPr>
    </w:p>
    <w:p w:rsidR="00ED2F66" w:rsidRPr="00ED2F66" w:rsidRDefault="00ED2F66" w:rsidP="00BA37F9">
      <w:pPr>
        <w:pStyle w:val="BodyText"/>
        <w:rPr>
          <w:noProof/>
          <w:szCs w:val="24"/>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F6D49">
        <w:rPr>
          <w:b/>
          <w:noProof/>
        </w:rPr>
        <w:t xml:space="preserve">302-19-O </w:t>
      </w:r>
      <w:r w:rsidR="007F6D49" w:rsidRPr="00E13123">
        <w:rPr>
          <w:b/>
          <w:noProof/>
        </w:rPr>
        <w:t xml:space="preserve">- </w:t>
      </w:r>
      <w:r w:rsidR="007F6D49">
        <w:rPr>
          <w:b/>
          <w:lang w:val="sr-Cyrl-RS"/>
        </w:rPr>
        <w:t>н</w:t>
      </w:r>
      <w:r w:rsidR="007F6D49" w:rsidRPr="00FE43B9">
        <w:rPr>
          <w:b/>
          <w:lang w:val="sr-Cyrl-CS"/>
        </w:rPr>
        <w:t>абавка</w:t>
      </w:r>
      <w:r w:rsidR="007F6D49" w:rsidRPr="00FE43B9">
        <w:rPr>
          <w:b/>
        </w:rPr>
        <w:t xml:space="preserve"> </w:t>
      </w:r>
      <w:r w:rsidR="007F6D49" w:rsidRPr="00FE43B9">
        <w:rPr>
          <w:b/>
          <w:lang w:val="sr-Cyrl-RS"/>
        </w:rPr>
        <w:t xml:space="preserve">трака за хируршки третман уринарне инконтиненције </w:t>
      </w:r>
      <w:r w:rsidR="007F6D49" w:rsidRPr="00FE43B9">
        <w:rPr>
          <w:b/>
        </w:rPr>
        <w:t>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B9" w:rsidRDefault="00FE43B9">
      <w:r>
        <w:separator/>
      </w:r>
    </w:p>
  </w:endnote>
  <w:endnote w:type="continuationSeparator" w:id="0">
    <w:p w:rsidR="00FE43B9" w:rsidRDefault="00F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E43B9" w:rsidRPr="00F9120C" w:rsidRDefault="00FE43B9" w:rsidP="00F9120C">
            <w:pPr>
              <w:pStyle w:val="Footer"/>
              <w:jc w:val="right"/>
            </w:pPr>
            <w:r>
              <w:rPr>
                <w:b/>
                <w:bCs/>
              </w:rPr>
              <w:fldChar w:fldCharType="begin"/>
            </w:r>
            <w:r>
              <w:rPr>
                <w:b/>
                <w:bCs/>
              </w:rPr>
              <w:instrText xml:space="preserve"> PAGE </w:instrText>
            </w:r>
            <w:r>
              <w:rPr>
                <w:b/>
                <w:bCs/>
              </w:rPr>
              <w:fldChar w:fldCharType="separate"/>
            </w:r>
            <w:r w:rsidR="008F7170">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8F7170">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3B9" w:rsidRDefault="00FE43B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FE43B9" w:rsidRDefault="00FE43B9">
            <w:pPr>
              <w:pStyle w:val="Footer"/>
              <w:jc w:val="right"/>
            </w:pPr>
            <w:r>
              <w:rPr>
                <w:b/>
                <w:bCs/>
              </w:rPr>
              <w:fldChar w:fldCharType="begin"/>
            </w:r>
            <w:r>
              <w:rPr>
                <w:b/>
                <w:bCs/>
              </w:rPr>
              <w:instrText xml:space="preserve"> PAGE </w:instrText>
            </w:r>
            <w:r>
              <w:rPr>
                <w:b/>
                <w:bCs/>
              </w:rPr>
              <w:fldChar w:fldCharType="separate"/>
            </w:r>
            <w:r w:rsidR="008F7170">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8F7170">
              <w:rPr>
                <w:b/>
                <w:bCs/>
                <w:noProof/>
              </w:rPr>
              <w:t>35</w:t>
            </w:r>
            <w:r>
              <w:rPr>
                <w:b/>
                <w:bCs/>
              </w:rPr>
              <w:fldChar w:fldCharType="end"/>
            </w:r>
          </w:p>
        </w:sdtContent>
      </w:sdt>
    </w:sdtContent>
  </w:sdt>
  <w:p w:rsidR="00FE43B9" w:rsidRPr="00CF2211" w:rsidRDefault="00FE43B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B9" w:rsidRDefault="00FE43B9">
      <w:r>
        <w:separator/>
      </w:r>
    </w:p>
  </w:footnote>
  <w:footnote w:type="continuationSeparator" w:id="0">
    <w:p w:rsidR="00FE43B9" w:rsidRDefault="00FE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Pr="00884492" w:rsidRDefault="00FE43B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0D00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11"/>
  </w:num>
  <w:num w:numId="10">
    <w:abstractNumId w:val="6"/>
  </w:num>
  <w:num w:numId="11">
    <w:abstractNumId w:val="7"/>
  </w:num>
  <w:num w:numId="12">
    <w:abstractNumId w:val="12"/>
  </w:num>
  <w:num w:numId="13">
    <w:abstractNumId w:val="33"/>
  </w:num>
  <w:num w:numId="14">
    <w:abstractNumId w:val="29"/>
  </w:num>
  <w:num w:numId="15">
    <w:abstractNumId w:val="8"/>
  </w:num>
  <w:num w:numId="16">
    <w:abstractNumId w:val="22"/>
  </w:num>
  <w:num w:numId="17">
    <w:abstractNumId w:val="24"/>
  </w:num>
  <w:num w:numId="18">
    <w:abstractNumId w:val="37"/>
  </w:num>
  <w:num w:numId="19">
    <w:abstractNumId w:val="13"/>
  </w:num>
  <w:num w:numId="20">
    <w:abstractNumId w:val="44"/>
  </w:num>
  <w:num w:numId="21">
    <w:abstractNumId w:val="27"/>
  </w:num>
  <w:num w:numId="22">
    <w:abstractNumId w:val="15"/>
  </w:num>
  <w:num w:numId="23">
    <w:abstractNumId w:val="41"/>
  </w:num>
  <w:num w:numId="24">
    <w:abstractNumId w:val="4"/>
  </w:num>
  <w:num w:numId="25">
    <w:abstractNumId w:val="20"/>
  </w:num>
  <w:num w:numId="26">
    <w:abstractNumId w:val="32"/>
  </w:num>
  <w:num w:numId="27">
    <w:abstractNumId w:val="35"/>
  </w:num>
  <w:num w:numId="28">
    <w:abstractNumId w:val="23"/>
  </w:num>
  <w:num w:numId="29">
    <w:abstractNumId w:val="31"/>
  </w:num>
  <w:num w:numId="30">
    <w:abstractNumId w:val="39"/>
  </w:num>
  <w:num w:numId="31">
    <w:abstractNumId w:val="14"/>
  </w:num>
  <w:num w:numId="32">
    <w:abstractNumId w:val="40"/>
  </w:num>
  <w:num w:numId="33">
    <w:abstractNumId w:val="42"/>
  </w:num>
  <w:num w:numId="34">
    <w:abstractNumId w:val="34"/>
  </w:num>
  <w:num w:numId="35">
    <w:abstractNumId w:val="21"/>
  </w:num>
  <w:num w:numId="36">
    <w:abstractNumId w:val="5"/>
  </w:num>
  <w:num w:numId="37">
    <w:abstractNumId w:val="19"/>
  </w:num>
  <w:num w:numId="38">
    <w:abstractNumId w:val="26"/>
  </w:num>
  <w:num w:numId="39">
    <w:abstractNumId w:val="45"/>
  </w:num>
  <w:num w:numId="40">
    <w:abstractNumId w:val="25"/>
  </w:num>
  <w:num w:numId="41">
    <w:abstractNumId w:val="17"/>
  </w:num>
  <w:num w:numId="42">
    <w:abstractNumId w:val="30"/>
  </w:num>
  <w:num w:numId="43">
    <w:abstractNumId w:val="9"/>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91D"/>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1D02"/>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6D49"/>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1AE6"/>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8F7170"/>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1F30"/>
    <w:rsid w:val="00962E58"/>
    <w:rsid w:val="009651F9"/>
    <w:rsid w:val="00965506"/>
    <w:rsid w:val="00966749"/>
    <w:rsid w:val="00966CFC"/>
    <w:rsid w:val="00967D1C"/>
    <w:rsid w:val="00970253"/>
    <w:rsid w:val="00970B45"/>
    <w:rsid w:val="00971147"/>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2F66"/>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3B9"/>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339A38AB-908E-46F0-8A1E-1797D78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7966-4E2B-40D3-ACE8-444D5FCB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35</Pages>
  <Words>9510</Words>
  <Characters>54213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63596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94</cp:revision>
  <cp:lastPrinted>2018-03-21T08:16:00Z</cp:lastPrinted>
  <dcterms:created xsi:type="dcterms:W3CDTF">2017-06-23T07:48:00Z</dcterms:created>
  <dcterms:modified xsi:type="dcterms:W3CDTF">2019-11-07T11:28:00Z</dcterms:modified>
</cp:coreProperties>
</file>