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C5960">
        <w:rPr>
          <w:rFonts w:eastAsiaTheme="minorHAnsi"/>
        </w:rPr>
        <w:t>119.200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C5960">
        <w:t>103.712,</w:t>
      </w:r>
      <w:r w:rsidR="00E83AB1"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C5960">
        <w:t>124.454,40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C5960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0C5960">
        <w:rPr>
          <w:rFonts w:eastAsiaTheme="minorHAnsi"/>
          <w:b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86143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C5960">
        <w:rPr>
          <w:color w:val="000000"/>
        </w:rPr>
        <w:t>15.07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0C5960">
        <w:rPr>
          <w:b/>
          <w:color w:val="000000"/>
          <w:lang w:val="en-US"/>
        </w:rPr>
        <w:t>Stiga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C5960">
        <w:rPr>
          <w:color w:val="000000"/>
          <w:lang w:val="sr-Cyrl-CS"/>
        </w:rPr>
        <w:t>Болманска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C5960">
        <w:rPr>
          <w:color w:val="000000"/>
          <w:lang w:val="sr-Cyrl-CS"/>
        </w:rPr>
        <w:t>8</w:t>
      </w:r>
      <w:r w:rsidRPr="00245AFB">
        <w:rPr>
          <w:color w:val="000000"/>
        </w:rPr>
        <w:t xml:space="preserve">, </w:t>
      </w:r>
      <w:r w:rsidR="000C5960">
        <w:rPr>
          <w:color w:val="000000"/>
          <w:lang w:val="sr-Cyrl-CS"/>
        </w:rPr>
        <w:t>Нови Сад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C5960"/>
    <w:rsid w:val="000D5448"/>
    <w:rsid w:val="000E38BD"/>
    <w:rsid w:val="000F4882"/>
    <w:rsid w:val="0010366B"/>
    <w:rsid w:val="00112DB0"/>
    <w:rsid w:val="00124D4A"/>
    <w:rsid w:val="001413B5"/>
    <w:rsid w:val="0014424E"/>
    <w:rsid w:val="001444D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4F8"/>
    <w:rsid w:val="0026204F"/>
    <w:rsid w:val="00276180"/>
    <w:rsid w:val="00287BD9"/>
    <w:rsid w:val="002903E3"/>
    <w:rsid w:val="0029162C"/>
    <w:rsid w:val="00293DE4"/>
    <w:rsid w:val="002A2DEF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1494C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0C1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5BA0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118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C78B9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C7B4B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E6319"/>
    <w:rsid w:val="00A2554D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4FB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2021-07-15T07:04:00Z</dcterms:created>
  <dcterms:modified xsi:type="dcterms:W3CDTF">2021-07-15T07:08:00Z</dcterms:modified>
</cp:coreProperties>
</file>