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CF1A47">
        <w:rPr>
          <w:rFonts w:eastAsiaTheme="minorHAnsi"/>
          <w:lang w:val="en-US"/>
        </w:rPr>
        <w:t>856.665.729</w:t>
      </w:r>
      <w:proofErr w:type="gramStart"/>
      <w:r w:rsidR="00CF1A47">
        <w:rPr>
          <w:rFonts w:eastAsiaTheme="minorHAnsi"/>
          <w:lang w:val="en-US"/>
        </w:rPr>
        <w:t>,90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DB238A">
        <w:rPr>
          <w:lang w:val="en-US"/>
        </w:rPr>
        <w:t>1.516.725</w:t>
      </w:r>
      <w:proofErr w:type="gramStart"/>
      <w:r w:rsidR="00DB238A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DB238A">
        <w:rPr>
          <w:lang w:val="en-US"/>
        </w:rPr>
        <w:t>1.820.070,00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DB238A">
        <w:rPr>
          <w:color w:val="000000"/>
          <w:lang w:val="en-US"/>
        </w:rPr>
        <w:t>16</w:t>
      </w:r>
      <w:r w:rsidR="00CF1A47">
        <w:rPr>
          <w:color w:val="000000"/>
          <w:lang w:val="en-US"/>
        </w:rPr>
        <w:t>.07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F1A47">
        <w:rPr>
          <w:b/>
          <w:color w:val="000000"/>
          <w:lang w:val="en-US"/>
        </w:rPr>
        <w:t>Yunycom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CF1A47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CF1A47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5B5995"/>
    <w:rsid w:val="00645F94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429F0"/>
    <w:rsid w:val="00947E97"/>
    <w:rsid w:val="00956286"/>
    <w:rsid w:val="00982593"/>
    <w:rsid w:val="00A2554D"/>
    <w:rsid w:val="00A84E87"/>
    <w:rsid w:val="00A943AA"/>
    <w:rsid w:val="00AA2710"/>
    <w:rsid w:val="00AB1A68"/>
    <w:rsid w:val="00AF67F8"/>
    <w:rsid w:val="00B12F6A"/>
    <w:rsid w:val="00B140B0"/>
    <w:rsid w:val="00B37E25"/>
    <w:rsid w:val="00B471C0"/>
    <w:rsid w:val="00B97BD7"/>
    <w:rsid w:val="00BA7FA6"/>
    <w:rsid w:val="00BD58A4"/>
    <w:rsid w:val="00BF61E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2020-07-16T10:15:00Z</dcterms:created>
  <dcterms:modified xsi:type="dcterms:W3CDTF">2020-07-16T10:17:00Z</dcterms:modified>
</cp:coreProperties>
</file>